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22BE3" w14:textId="77777777" w:rsidR="00A86EAB" w:rsidRPr="00CC4A6B" w:rsidRDefault="00A86EAB" w:rsidP="00E90B6E">
      <w:pPr>
        <w:pStyle w:val="ChartSubtitle"/>
      </w:pPr>
    </w:p>
    <w:p w14:paraId="5A6A7210" w14:textId="77777777" w:rsidR="00A86EAB" w:rsidRDefault="00A86EAB" w:rsidP="00A86EAB">
      <w:pPr>
        <w:spacing w:line="276" w:lineRule="auto"/>
        <w:rPr>
          <w:szCs w:val="24"/>
        </w:rPr>
      </w:pPr>
    </w:p>
    <w:p w14:paraId="40A6BE68" w14:textId="61A09652" w:rsidR="00A86EAB" w:rsidRDefault="00A86EAB" w:rsidP="00A86EAB">
      <w:pPr>
        <w:spacing w:line="276" w:lineRule="auto"/>
      </w:pPr>
    </w:p>
    <w:p w14:paraId="57E37984" w14:textId="77777777" w:rsidR="00A86EAB" w:rsidRDefault="00A86EAB" w:rsidP="00A86EAB">
      <w:pPr>
        <w:spacing w:line="276" w:lineRule="auto"/>
        <w:rPr>
          <w:szCs w:val="24"/>
        </w:rPr>
      </w:pPr>
    </w:p>
    <w:p w14:paraId="650F6FE5" w14:textId="77777777" w:rsidR="001855C7" w:rsidRDefault="001855C7" w:rsidP="00A86EAB">
      <w:pPr>
        <w:spacing w:line="276" w:lineRule="auto"/>
        <w:rPr>
          <w:szCs w:val="24"/>
        </w:rPr>
      </w:pPr>
    </w:p>
    <w:p w14:paraId="102FCAB2" w14:textId="77777777" w:rsidR="001855C7" w:rsidRDefault="001855C7" w:rsidP="00A86EAB">
      <w:pPr>
        <w:spacing w:line="276" w:lineRule="auto"/>
        <w:rPr>
          <w:szCs w:val="24"/>
        </w:rPr>
      </w:pPr>
    </w:p>
    <w:p w14:paraId="03D4B5ED" w14:textId="77777777" w:rsidR="001855C7" w:rsidRDefault="001855C7" w:rsidP="00A86EAB">
      <w:pPr>
        <w:spacing w:line="276" w:lineRule="auto"/>
        <w:rPr>
          <w:szCs w:val="24"/>
        </w:rPr>
      </w:pPr>
    </w:p>
    <w:p w14:paraId="3C179E31" w14:textId="77777777" w:rsidR="001855C7" w:rsidRDefault="001855C7" w:rsidP="00A86EAB">
      <w:pPr>
        <w:spacing w:line="276" w:lineRule="auto"/>
        <w:rPr>
          <w:szCs w:val="24"/>
        </w:rPr>
      </w:pPr>
    </w:p>
    <w:p w14:paraId="72B2AC13" w14:textId="77777777" w:rsidR="001855C7" w:rsidRDefault="001855C7" w:rsidP="00A86EAB">
      <w:pPr>
        <w:spacing w:line="276" w:lineRule="auto"/>
        <w:rPr>
          <w:szCs w:val="24"/>
        </w:rPr>
      </w:pPr>
    </w:p>
    <w:p w14:paraId="10E6F141" w14:textId="77777777" w:rsidR="001855C7" w:rsidRDefault="001855C7" w:rsidP="00A86EAB">
      <w:pPr>
        <w:spacing w:line="276" w:lineRule="auto"/>
        <w:rPr>
          <w:szCs w:val="24"/>
        </w:rPr>
      </w:pPr>
    </w:p>
    <w:p w14:paraId="5CD89788" w14:textId="77777777" w:rsidR="001855C7" w:rsidRDefault="001855C7" w:rsidP="00A86EAB">
      <w:pPr>
        <w:spacing w:line="276" w:lineRule="auto"/>
        <w:rPr>
          <w:szCs w:val="24"/>
        </w:rPr>
      </w:pPr>
    </w:p>
    <w:p w14:paraId="5F0EF70B" w14:textId="77777777" w:rsidR="001855C7" w:rsidRDefault="001855C7" w:rsidP="00A86EAB">
      <w:pPr>
        <w:spacing w:line="276" w:lineRule="auto"/>
        <w:rPr>
          <w:szCs w:val="24"/>
        </w:rPr>
      </w:pPr>
    </w:p>
    <w:p w14:paraId="115153CB" w14:textId="77777777" w:rsidR="001855C7" w:rsidRDefault="001855C7" w:rsidP="00A86EAB">
      <w:pPr>
        <w:spacing w:line="276" w:lineRule="auto"/>
        <w:rPr>
          <w:szCs w:val="24"/>
        </w:rPr>
      </w:pPr>
    </w:p>
    <w:p w14:paraId="70D1067F" w14:textId="77777777" w:rsidR="001855C7" w:rsidRDefault="001855C7" w:rsidP="00A86EAB">
      <w:pPr>
        <w:spacing w:line="276" w:lineRule="auto"/>
        <w:rPr>
          <w:szCs w:val="24"/>
        </w:rPr>
      </w:pPr>
    </w:p>
    <w:p w14:paraId="2E9714DC" w14:textId="77777777" w:rsidR="001855C7" w:rsidRDefault="001855C7" w:rsidP="00A86EAB">
      <w:pPr>
        <w:spacing w:line="276" w:lineRule="auto"/>
        <w:rPr>
          <w:szCs w:val="24"/>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490"/>
      </w:tblGrid>
      <w:tr w:rsidR="008713C8" w14:paraId="6A3A2EC4" w14:textId="77777777" w:rsidTr="00F256A8">
        <w:trPr>
          <w:trHeight w:val="2692"/>
        </w:trPr>
        <w:tc>
          <w:tcPr>
            <w:tcW w:w="10490" w:type="dxa"/>
          </w:tcPr>
          <w:p w14:paraId="1E42BA6E" w14:textId="77777777" w:rsidR="008713C8" w:rsidRPr="00BF541E" w:rsidRDefault="008713C8" w:rsidP="00F256A8">
            <w:pPr>
              <w:pStyle w:val="Orangehorizontalline"/>
              <w:spacing w:after="0"/>
              <w:rPr>
                <w:b/>
                <w:bCs/>
                <w:color w:val="FA4616" w:themeColor="accent1"/>
                <w:sz w:val="52"/>
                <w:szCs w:val="28"/>
              </w:rPr>
            </w:pPr>
            <w:r>
              <w:rPr>
                <w:b/>
                <w:bCs/>
                <w:color w:val="FA4616" w:themeColor="accent1"/>
                <w:sz w:val="52"/>
                <w:szCs w:val="28"/>
              </w:rPr>
              <w:t xml:space="preserve">GDN Collaborative </w:t>
            </w:r>
            <w:r w:rsidRPr="00BF541E">
              <w:rPr>
                <w:b/>
                <w:bCs/>
                <w:color w:val="FA4616" w:themeColor="accent1"/>
                <w:sz w:val="52"/>
                <w:szCs w:val="28"/>
              </w:rPr>
              <w:t>Vulnerability &amp; Carbon Monoxide Allowance (VCMA)</w:t>
            </w:r>
          </w:p>
          <w:p w14:paraId="00F6D945" w14:textId="77777777" w:rsidR="008713C8" w:rsidRDefault="008713C8" w:rsidP="00F256A8">
            <w:pPr>
              <w:pStyle w:val="Orangehorizontalline"/>
              <w:spacing w:after="0"/>
            </w:pPr>
          </w:p>
          <w:p w14:paraId="18F9CE3D" w14:textId="77777777" w:rsidR="008713C8" w:rsidRPr="00BF541E" w:rsidRDefault="008713C8" w:rsidP="00F256A8">
            <w:pPr>
              <w:pStyle w:val="Orangehorizontalline"/>
              <w:spacing w:after="0"/>
              <w:rPr>
                <w:color w:val="auto"/>
                <w:sz w:val="48"/>
                <w:szCs w:val="16"/>
              </w:rPr>
            </w:pPr>
            <w:r w:rsidRPr="5C3EE672">
              <w:rPr>
                <w:color w:val="auto"/>
                <w:sz w:val="48"/>
                <w:szCs w:val="48"/>
              </w:rPr>
              <w:t>Project Eligibility Assessment (PEA)</w:t>
            </w:r>
          </w:p>
          <w:p w14:paraId="4269A70B" w14:textId="54281300" w:rsidR="008713C8" w:rsidRDefault="00CD786A" w:rsidP="00F256A8">
            <w:pPr>
              <w:pStyle w:val="Orangehorizontalline"/>
              <w:spacing w:after="0"/>
              <w:ind w:right="137"/>
              <w:rPr>
                <w:i/>
                <w:iCs/>
                <w:szCs w:val="44"/>
              </w:rPr>
            </w:pPr>
            <w:r>
              <w:rPr>
                <w:i/>
                <w:iCs/>
              </w:rPr>
              <w:t>I</w:t>
            </w:r>
            <w:r w:rsidR="00EE441F">
              <w:rPr>
                <w:i/>
                <w:iCs/>
              </w:rPr>
              <w:t xml:space="preserve">ncome &amp; </w:t>
            </w:r>
            <w:r>
              <w:rPr>
                <w:i/>
                <w:iCs/>
              </w:rPr>
              <w:t>E</w:t>
            </w:r>
            <w:r w:rsidR="00EE441F">
              <w:rPr>
                <w:i/>
                <w:iCs/>
              </w:rPr>
              <w:t>xpenditure (IE)</w:t>
            </w:r>
            <w:r>
              <w:rPr>
                <w:i/>
                <w:iCs/>
              </w:rPr>
              <w:t xml:space="preserve"> Hub</w:t>
            </w:r>
            <w:r w:rsidR="00E962F3">
              <w:rPr>
                <w:i/>
                <w:iCs/>
              </w:rPr>
              <w:t xml:space="preserve"> </w:t>
            </w:r>
          </w:p>
        </w:tc>
      </w:tr>
      <w:tr w:rsidR="008713C8" w14:paraId="70397438" w14:textId="77777777" w:rsidTr="00F256A8">
        <w:tc>
          <w:tcPr>
            <w:tcW w:w="10490" w:type="dxa"/>
          </w:tcPr>
          <w:p w14:paraId="55210E96" w14:textId="77777777" w:rsidR="008713C8" w:rsidRDefault="008713C8" w:rsidP="00F256A8"/>
        </w:tc>
      </w:tr>
      <w:tr w:rsidR="008713C8" w:rsidRPr="00204052" w14:paraId="52D7D10A" w14:textId="77777777" w:rsidTr="00F256A8">
        <w:trPr>
          <w:trHeight w:val="887"/>
        </w:trPr>
        <w:tc>
          <w:tcPr>
            <w:tcW w:w="10490" w:type="dxa"/>
          </w:tcPr>
          <w:p w14:paraId="672C7F7A" w14:textId="77777777" w:rsidR="008713C8" w:rsidRPr="00493ABC" w:rsidRDefault="008713C8" w:rsidP="00F256A8">
            <w:pPr>
              <w:pStyle w:val="CoverSubtitleOrange"/>
              <w:rPr>
                <w:b w:val="0"/>
                <w:bCs/>
                <w:i/>
                <w:iCs/>
                <w:lang w:val="it-IT"/>
              </w:rPr>
            </w:pPr>
          </w:p>
          <w:p w14:paraId="31236455" w14:textId="19319579" w:rsidR="008713C8" w:rsidRDefault="0044381D" w:rsidP="00F256A8">
            <w:pPr>
              <w:pStyle w:val="CoverSubtitleOrange"/>
              <w:rPr>
                <w:b w:val="0"/>
                <w:bCs/>
                <w:i/>
                <w:iCs/>
                <w:lang w:val="it-IT"/>
              </w:rPr>
            </w:pPr>
            <w:r>
              <w:rPr>
                <w:b w:val="0"/>
                <w:bCs/>
                <w:i/>
                <w:iCs/>
                <w:lang w:val="it-IT"/>
              </w:rPr>
              <w:t>Amanda Jones</w:t>
            </w:r>
          </w:p>
          <w:p w14:paraId="35CCD1C5" w14:textId="1FBB4969" w:rsidR="008713C8" w:rsidRPr="00230360" w:rsidRDefault="0044381D" w:rsidP="00F256A8">
            <w:pPr>
              <w:pStyle w:val="CoverSubtitleOrange"/>
              <w:rPr>
                <w:b w:val="0"/>
                <w:bCs/>
                <w:i/>
                <w:iCs/>
                <w:lang w:val="it-IT"/>
              </w:rPr>
            </w:pPr>
            <w:r>
              <w:rPr>
                <w:b w:val="0"/>
                <w:bCs/>
                <w:i/>
                <w:iCs/>
                <w:lang w:val="it-IT"/>
              </w:rPr>
              <w:t>Amanda.jones@cadentgas.com</w:t>
            </w:r>
          </w:p>
          <w:p w14:paraId="0D983196" w14:textId="77777777" w:rsidR="008713C8" w:rsidRPr="00493ABC" w:rsidRDefault="008713C8" w:rsidP="00F256A8">
            <w:pPr>
              <w:pStyle w:val="CoverSubtitleOrange"/>
              <w:rPr>
                <w:b w:val="0"/>
                <w:bCs/>
                <w:i/>
                <w:iCs/>
                <w:lang w:val="it-IT"/>
              </w:rPr>
            </w:pPr>
          </w:p>
          <w:p w14:paraId="22B2F1C1" w14:textId="0DBAC660" w:rsidR="008713C8" w:rsidRPr="00204052" w:rsidRDefault="00EE441F" w:rsidP="00F256A8">
            <w:pPr>
              <w:pStyle w:val="CoverSubtitleOrange"/>
              <w:rPr>
                <w:b w:val="0"/>
                <w:bCs/>
                <w:i/>
                <w:iCs/>
                <w:color w:val="auto"/>
                <w:sz w:val="28"/>
                <w:szCs w:val="20"/>
              </w:rPr>
            </w:pPr>
            <w:r>
              <w:rPr>
                <w:b w:val="0"/>
                <w:bCs/>
                <w:i/>
                <w:iCs/>
                <w:color w:val="auto"/>
                <w:sz w:val="28"/>
                <w:szCs w:val="20"/>
              </w:rPr>
              <w:t xml:space="preserve">July </w:t>
            </w:r>
            <w:r w:rsidR="008713C8">
              <w:rPr>
                <w:b w:val="0"/>
                <w:bCs/>
                <w:i/>
                <w:iCs/>
                <w:color w:val="auto"/>
                <w:sz w:val="28"/>
                <w:szCs w:val="20"/>
              </w:rPr>
              <w:t>202</w:t>
            </w:r>
            <w:r w:rsidR="0044381D">
              <w:rPr>
                <w:b w:val="0"/>
                <w:bCs/>
                <w:i/>
                <w:iCs/>
                <w:color w:val="auto"/>
                <w:sz w:val="28"/>
                <w:szCs w:val="20"/>
              </w:rPr>
              <w:t>4</w:t>
            </w:r>
          </w:p>
          <w:p w14:paraId="45F13DAC" w14:textId="77777777" w:rsidR="008713C8" w:rsidRPr="00204052" w:rsidRDefault="008713C8" w:rsidP="00F256A8">
            <w:pPr>
              <w:pStyle w:val="CoverSubtitleGrey"/>
              <w:rPr>
                <w:bCs/>
                <w:i/>
                <w:iCs/>
              </w:rPr>
            </w:pPr>
          </w:p>
        </w:tc>
      </w:tr>
    </w:tbl>
    <w:p w14:paraId="1DBB19C7" w14:textId="77777777" w:rsidR="00A86EAB" w:rsidRDefault="00A86EAB" w:rsidP="00BF541E"/>
    <w:p w14:paraId="512C4E0D" w14:textId="77777777" w:rsidR="008713C8" w:rsidRDefault="008713C8">
      <w:pPr>
        <w:spacing w:after="160" w:line="259" w:lineRule="auto"/>
      </w:pPr>
      <w:r>
        <w:br w:type="page"/>
      </w:r>
    </w:p>
    <w:p w14:paraId="4F0E74B8" w14:textId="68B3B4CF" w:rsidR="00EA517D" w:rsidRDefault="00EA517D" w:rsidP="00BF541E">
      <w:r w:rsidRPr="00014DB6">
        <w:rPr>
          <w:b/>
          <w:bCs/>
        </w:rPr>
        <w:lastRenderedPageBreak/>
        <w:t xml:space="preserve">Gas Network Vulnerability &amp; Carbon Monoxide Allowance (VCMA) Governance Document - Project Eligibility Criteria </w:t>
      </w:r>
    </w:p>
    <w:p w14:paraId="2FD0FAF6" w14:textId="77777777" w:rsidR="006B3877" w:rsidRPr="006B3877" w:rsidRDefault="006B3877" w:rsidP="00BF541E"/>
    <w:tbl>
      <w:tblPr>
        <w:tblStyle w:val="TableGrid"/>
        <w:tblW w:w="10201" w:type="dxa"/>
        <w:tblLook w:val="04A0" w:firstRow="1" w:lastRow="0" w:firstColumn="1" w:lastColumn="0" w:noHBand="0" w:noVBand="1"/>
      </w:tblPr>
      <w:tblGrid>
        <w:gridCol w:w="9067"/>
        <w:gridCol w:w="1134"/>
      </w:tblGrid>
      <w:tr w:rsidR="00EA517D" w:rsidRPr="006B3877" w14:paraId="011E5FD1" w14:textId="77777777" w:rsidTr="00061C9F">
        <w:trPr>
          <w:trHeight w:val="334"/>
        </w:trPr>
        <w:tc>
          <w:tcPr>
            <w:tcW w:w="10201" w:type="dxa"/>
            <w:gridSpan w:val="2"/>
          </w:tcPr>
          <w:p w14:paraId="32EFEB98" w14:textId="18ECD950" w:rsidR="00EA517D" w:rsidRPr="006B3877" w:rsidRDefault="001D2E80" w:rsidP="00BF541E">
            <w:pPr>
              <w:rPr>
                <w:b/>
                <w:bCs/>
                <w:sz w:val="20"/>
                <w:szCs w:val="18"/>
              </w:rPr>
            </w:pPr>
            <w:r w:rsidRPr="006B3877">
              <w:rPr>
                <w:b/>
                <w:bCs/>
                <w:sz w:val="20"/>
                <w:szCs w:val="18"/>
              </w:rPr>
              <w:t xml:space="preserve">Section 1 - </w:t>
            </w:r>
            <w:r w:rsidR="00EA517D" w:rsidRPr="006B3877">
              <w:rPr>
                <w:b/>
                <w:bCs/>
                <w:sz w:val="20"/>
                <w:szCs w:val="18"/>
              </w:rPr>
              <w:t>Eligibility criteria for company specific projects (</w:t>
            </w:r>
            <w:r w:rsidR="00BE536E" w:rsidRPr="006B3877">
              <w:rPr>
                <w:b/>
                <w:bCs/>
                <w:sz w:val="20"/>
                <w:szCs w:val="18"/>
              </w:rPr>
              <w:t>other than condemned essential gas appliance repair and replacement</w:t>
            </w:r>
            <w:r w:rsidR="00EA517D" w:rsidRPr="006B3877">
              <w:rPr>
                <w:b/>
                <w:bCs/>
                <w:sz w:val="20"/>
                <w:szCs w:val="18"/>
              </w:rPr>
              <w:t>)</w:t>
            </w:r>
          </w:p>
          <w:p w14:paraId="519CD75F" w14:textId="77777777" w:rsidR="00EA517D" w:rsidRPr="006B3877" w:rsidRDefault="00EA517D" w:rsidP="00BF541E">
            <w:pPr>
              <w:rPr>
                <w:b/>
                <w:bCs/>
                <w:sz w:val="20"/>
                <w:szCs w:val="18"/>
              </w:rPr>
            </w:pPr>
          </w:p>
          <w:p w14:paraId="61403AC1" w14:textId="52F6BAC4" w:rsidR="00EA517D" w:rsidRPr="006B3877" w:rsidRDefault="00EA517D" w:rsidP="00BF541E">
            <w:pPr>
              <w:rPr>
                <w:sz w:val="20"/>
                <w:szCs w:val="18"/>
              </w:rPr>
            </w:pPr>
            <w:r w:rsidRPr="006B3877">
              <w:rPr>
                <w:sz w:val="20"/>
                <w:szCs w:val="18"/>
              </w:rPr>
              <w:t>In order to qualify as a VCMA project, a project must:</w:t>
            </w:r>
          </w:p>
          <w:p w14:paraId="0D9DFDCD" w14:textId="7F8BD824" w:rsidR="00EA517D" w:rsidRPr="006B3877" w:rsidRDefault="00EA517D" w:rsidP="00BF541E">
            <w:pPr>
              <w:rPr>
                <w:b/>
                <w:bCs/>
                <w:sz w:val="20"/>
                <w:szCs w:val="18"/>
              </w:rPr>
            </w:pPr>
          </w:p>
        </w:tc>
      </w:tr>
      <w:tr w:rsidR="00EA517D" w:rsidRPr="006B3877" w14:paraId="54A5353E" w14:textId="77777777" w:rsidTr="00061C9F">
        <w:trPr>
          <w:trHeight w:val="334"/>
        </w:trPr>
        <w:tc>
          <w:tcPr>
            <w:tcW w:w="9067" w:type="dxa"/>
          </w:tcPr>
          <w:p w14:paraId="31CE3344" w14:textId="6E407650" w:rsidR="00EA517D" w:rsidRPr="006B3877" w:rsidRDefault="00EA517D" w:rsidP="00BF541E">
            <w:pPr>
              <w:rPr>
                <w:b/>
                <w:bCs/>
                <w:sz w:val="20"/>
                <w:szCs w:val="18"/>
              </w:rPr>
            </w:pPr>
            <w:r w:rsidRPr="006B3877">
              <w:rPr>
                <w:b/>
                <w:bCs/>
                <w:sz w:val="20"/>
                <w:szCs w:val="18"/>
              </w:rPr>
              <w:t>VCMA Eligibility Criteria</w:t>
            </w:r>
          </w:p>
          <w:p w14:paraId="054E8D33" w14:textId="4E917884" w:rsidR="00EA517D" w:rsidRPr="006B3877" w:rsidRDefault="00EA517D" w:rsidP="00BF541E">
            <w:pPr>
              <w:rPr>
                <w:b/>
                <w:bCs/>
                <w:sz w:val="20"/>
                <w:szCs w:val="18"/>
              </w:rPr>
            </w:pPr>
          </w:p>
        </w:tc>
        <w:tc>
          <w:tcPr>
            <w:tcW w:w="1134" w:type="dxa"/>
          </w:tcPr>
          <w:p w14:paraId="318BA0D1" w14:textId="4B05DD9E" w:rsidR="00EA517D" w:rsidRPr="006B3877" w:rsidRDefault="00EA517D" w:rsidP="00BF541E">
            <w:pPr>
              <w:rPr>
                <w:b/>
                <w:bCs/>
                <w:sz w:val="20"/>
                <w:szCs w:val="18"/>
              </w:rPr>
            </w:pPr>
            <w:r w:rsidRPr="006B3877">
              <w:rPr>
                <w:b/>
                <w:bCs/>
                <w:sz w:val="20"/>
                <w:szCs w:val="18"/>
              </w:rPr>
              <w:t>Criteria Satisfied (Yes/No)</w:t>
            </w:r>
          </w:p>
        </w:tc>
      </w:tr>
      <w:tr w:rsidR="00EA517D" w:rsidRPr="006B3877" w14:paraId="272D48B2" w14:textId="77777777" w:rsidTr="00061C9F">
        <w:trPr>
          <w:trHeight w:val="334"/>
        </w:trPr>
        <w:tc>
          <w:tcPr>
            <w:tcW w:w="9067" w:type="dxa"/>
          </w:tcPr>
          <w:p w14:paraId="43163BAE" w14:textId="586781D3" w:rsidR="00EA517D" w:rsidRPr="006B3877" w:rsidRDefault="00EA517D" w:rsidP="00EA517D">
            <w:pPr>
              <w:pStyle w:val="ListParagraph"/>
              <w:numPr>
                <w:ilvl w:val="0"/>
                <w:numId w:val="11"/>
              </w:numPr>
              <w:rPr>
                <w:b/>
                <w:bCs/>
                <w:sz w:val="20"/>
                <w:szCs w:val="18"/>
              </w:rPr>
            </w:pPr>
            <w:r w:rsidRPr="006B3877">
              <w:rPr>
                <w:sz w:val="20"/>
                <w:szCs w:val="18"/>
              </w:rPr>
              <w:t>Have a positive</w:t>
            </w:r>
            <w:r w:rsidR="00BE536E" w:rsidRPr="006B3877">
              <w:rPr>
                <w:sz w:val="20"/>
                <w:szCs w:val="18"/>
              </w:rPr>
              <w:t>, or forecasted positive</w:t>
            </w:r>
            <w:r w:rsidRPr="006B3877">
              <w:rPr>
                <w:sz w:val="20"/>
                <w:szCs w:val="18"/>
              </w:rPr>
              <w:t xml:space="preserve"> Social Return on Investment (SROI), </w:t>
            </w:r>
            <w:r w:rsidR="00BE536E" w:rsidRPr="006B3877">
              <w:rPr>
                <w:sz w:val="20"/>
                <w:szCs w:val="18"/>
              </w:rPr>
              <w:t>including for the gas consumers funding the VCMA project;</w:t>
            </w:r>
          </w:p>
          <w:p w14:paraId="60F878BB" w14:textId="2FC21116" w:rsidR="00EA517D" w:rsidRPr="006B3877" w:rsidRDefault="00EA517D" w:rsidP="00BF541E">
            <w:pPr>
              <w:rPr>
                <w:b/>
                <w:bCs/>
                <w:sz w:val="20"/>
                <w:szCs w:val="18"/>
              </w:rPr>
            </w:pPr>
          </w:p>
        </w:tc>
        <w:tc>
          <w:tcPr>
            <w:tcW w:w="1134" w:type="dxa"/>
            <w:vAlign w:val="center"/>
          </w:tcPr>
          <w:p w14:paraId="373C80FD" w14:textId="23A07B45" w:rsidR="00EA517D" w:rsidRPr="006B3877" w:rsidRDefault="000A4331" w:rsidP="00AA1B27">
            <w:pPr>
              <w:jc w:val="center"/>
              <w:rPr>
                <w:b/>
                <w:bCs/>
                <w:sz w:val="20"/>
                <w:szCs w:val="18"/>
              </w:rPr>
            </w:pPr>
            <w:r>
              <w:rPr>
                <w:b/>
                <w:bCs/>
                <w:sz w:val="20"/>
                <w:szCs w:val="18"/>
              </w:rPr>
              <w:t>Yes</w:t>
            </w:r>
          </w:p>
        </w:tc>
      </w:tr>
      <w:tr w:rsidR="00EA517D" w:rsidRPr="006B3877" w14:paraId="27EA3BBC" w14:textId="77777777" w:rsidTr="00061C9F">
        <w:trPr>
          <w:trHeight w:val="334"/>
        </w:trPr>
        <w:tc>
          <w:tcPr>
            <w:tcW w:w="9067" w:type="dxa"/>
          </w:tcPr>
          <w:p w14:paraId="634B3597" w14:textId="51DCAC76" w:rsidR="00EA517D" w:rsidRPr="006B3877" w:rsidRDefault="00EA517D" w:rsidP="00EA517D">
            <w:pPr>
              <w:pStyle w:val="ListParagraph"/>
              <w:numPr>
                <w:ilvl w:val="0"/>
                <w:numId w:val="11"/>
              </w:numPr>
              <w:rPr>
                <w:b/>
                <w:bCs/>
                <w:sz w:val="20"/>
                <w:szCs w:val="18"/>
              </w:rPr>
            </w:pPr>
            <w:r w:rsidRPr="006B3877">
              <w:rPr>
                <w:sz w:val="20"/>
                <w:szCs w:val="18"/>
              </w:rPr>
              <w:t>Either:</w:t>
            </w:r>
          </w:p>
          <w:p w14:paraId="19D10442" w14:textId="7D0ACF6D" w:rsidR="00EA517D" w:rsidRPr="006B3877" w:rsidRDefault="00EA517D" w:rsidP="00EA517D">
            <w:pPr>
              <w:pStyle w:val="ListParagraph"/>
              <w:numPr>
                <w:ilvl w:val="0"/>
                <w:numId w:val="12"/>
              </w:numPr>
              <w:rPr>
                <w:b/>
                <w:bCs/>
                <w:sz w:val="20"/>
                <w:szCs w:val="18"/>
              </w:rPr>
            </w:pPr>
            <w:r w:rsidRPr="006B3877">
              <w:rPr>
                <w:sz w:val="20"/>
                <w:szCs w:val="18"/>
              </w:rPr>
              <w:t xml:space="preserve">Provide </w:t>
            </w:r>
            <w:r w:rsidR="00BE536E" w:rsidRPr="006B3877">
              <w:rPr>
                <w:sz w:val="20"/>
                <w:szCs w:val="18"/>
              </w:rPr>
              <w:t>support</w:t>
            </w:r>
            <w:r w:rsidRPr="006B3877">
              <w:rPr>
                <w:sz w:val="20"/>
                <w:szCs w:val="18"/>
              </w:rPr>
              <w:t xml:space="preserve"> to consumers in vulnerable situations</w:t>
            </w:r>
            <w:r w:rsidR="00BE536E" w:rsidRPr="006B3877">
              <w:rPr>
                <w:sz w:val="20"/>
                <w:szCs w:val="18"/>
              </w:rPr>
              <w:t>, and relate to energy safeguarding, or</w:t>
            </w:r>
          </w:p>
          <w:p w14:paraId="2A22E45E" w14:textId="711218AB" w:rsidR="00EA517D" w:rsidRPr="006B3877" w:rsidRDefault="00EA517D" w:rsidP="00EA517D">
            <w:pPr>
              <w:pStyle w:val="ListParagraph"/>
              <w:numPr>
                <w:ilvl w:val="0"/>
                <w:numId w:val="12"/>
              </w:numPr>
              <w:rPr>
                <w:b/>
                <w:bCs/>
                <w:sz w:val="20"/>
                <w:szCs w:val="18"/>
              </w:rPr>
            </w:pPr>
            <w:r w:rsidRPr="006B3877">
              <w:rPr>
                <w:sz w:val="20"/>
                <w:szCs w:val="18"/>
              </w:rPr>
              <w:t>Provide awareness on the dangers of CO, or</w:t>
            </w:r>
          </w:p>
          <w:p w14:paraId="5E494BBC" w14:textId="32662DFF" w:rsidR="00EA517D" w:rsidRPr="006B3877" w:rsidRDefault="00EA517D" w:rsidP="00EA517D">
            <w:pPr>
              <w:pStyle w:val="ListParagraph"/>
              <w:numPr>
                <w:ilvl w:val="0"/>
                <w:numId w:val="12"/>
              </w:numPr>
              <w:rPr>
                <w:b/>
                <w:bCs/>
                <w:sz w:val="20"/>
                <w:szCs w:val="18"/>
              </w:rPr>
            </w:pPr>
            <w:r w:rsidRPr="006B3877">
              <w:rPr>
                <w:sz w:val="20"/>
                <w:szCs w:val="18"/>
              </w:rPr>
              <w:t xml:space="preserve">Reduce the risk of </w:t>
            </w:r>
            <w:r w:rsidR="00BE536E" w:rsidRPr="006B3877">
              <w:rPr>
                <w:sz w:val="20"/>
                <w:szCs w:val="18"/>
              </w:rPr>
              <w:t>harm</w:t>
            </w:r>
            <w:r w:rsidRPr="006B3877">
              <w:rPr>
                <w:sz w:val="20"/>
                <w:szCs w:val="18"/>
              </w:rPr>
              <w:t xml:space="preserve"> caused by CO;</w:t>
            </w:r>
          </w:p>
          <w:p w14:paraId="0F4AA5E4" w14:textId="68ECE648" w:rsidR="00EA517D" w:rsidRPr="006B3877" w:rsidRDefault="00EA517D" w:rsidP="00EA517D">
            <w:pPr>
              <w:rPr>
                <w:sz w:val="20"/>
                <w:szCs w:val="18"/>
              </w:rPr>
            </w:pPr>
          </w:p>
        </w:tc>
        <w:tc>
          <w:tcPr>
            <w:tcW w:w="1134" w:type="dxa"/>
            <w:vAlign w:val="center"/>
          </w:tcPr>
          <w:p w14:paraId="3DCACB68" w14:textId="0562E464" w:rsidR="00EA517D" w:rsidRPr="006B3877" w:rsidRDefault="000A4331" w:rsidP="00AA1B27">
            <w:pPr>
              <w:jc w:val="center"/>
              <w:rPr>
                <w:b/>
                <w:bCs/>
                <w:sz w:val="20"/>
                <w:szCs w:val="18"/>
              </w:rPr>
            </w:pPr>
            <w:r>
              <w:rPr>
                <w:b/>
                <w:bCs/>
                <w:sz w:val="20"/>
                <w:szCs w:val="18"/>
              </w:rPr>
              <w:t>Yes</w:t>
            </w:r>
          </w:p>
        </w:tc>
      </w:tr>
      <w:tr w:rsidR="00EA517D" w:rsidRPr="006B3877" w14:paraId="34643031" w14:textId="77777777" w:rsidTr="00061C9F">
        <w:trPr>
          <w:trHeight w:val="334"/>
        </w:trPr>
        <w:tc>
          <w:tcPr>
            <w:tcW w:w="9067" w:type="dxa"/>
          </w:tcPr>
          <w:p w14:paraId="23E434DB" w14:textId="7DBD9FE7" w:rsidR="00EA517D" w:rsidRPr="006B3877" w:rsidRDefault="00EA517D" w:rsidP="00EA517D">
            <w:pPr>
              <w:pStyle w:val="ListParagraph"/>
              <w:numPr>
                <w:ilvl w:val="0"/>
                <w:numId w:val="11"/>
              </w:numPr>
              <w:rPr>
                <w:b/>
                <w:bCs/>
                <w:sz w:val="20"/>
                <w:szCs w:val="18"/>
              </w:rPr>
            </w:pPr>
            <w:r w:rsidRPr="006B3877">
              <w:rPr>
                <w:sz w:val="20"/>
                <w:szCs w:val="18"/>
              </w:rPr>
              <w:t>Have defined out</w:t>
            </w:r>
            <w:r w:rsidR="00D7667C" w:rsidRPr="006B3877">
              <w:rPr>
                <w:sz w:val="20"/>
                <w:szCs w:val="18"/>
              </w:rPr>
              <w:t>comes and the associated actions to achieve these</w:t>
            </w:r>
            <w:r w:rsidRPr="006B3877">
              <w:rPr>
                <w:sz w:val="20"/>
                <w:szCs w:val="18"/>
              </w:rPr>
              <w:t xml:space="preserve">; </w:t>
            </w:r>
          </w:p>
          <w:p w14:paraId="600264CD" w14:textId="2BE8FAA4" w:rsidR="00EA517D" w:rsidRPr="006B3877" w:rsidRDefault="00EA517D" w:rsidP="00BF541E">
            <w:pPr>
              <w:rPr>
                <w:b/>
                <w:bCs/>
                <w:sz w:val="20"/>
                <w:szCs w:val="18"/>
              </w:rPr>
            </w:pPr>
          </w:p>
        </w:tc>
        <w:tc>
          <w:tcPr>
            <w:tcW w:w="1134" w:type="dxa"/>
            <w:vAlign w:val="center"/>
          </w:tcPr>
          <w:p w14:paraId="56E1ED94" w14:textId="6FE7165B" w:rsidR="00EA517D" w:rsidRPr="006B3877" w:rsidRDefault="000A4331" w:rsidP="00AA1B27">
            <w:pPr>
              <w:jc w:val="center"/>
              <w:rPr>
                <w:b/>
                <w:bCs/>
                <w:sz w:val="20"/>
                <w:szCs w:val="18"/>
              </w:rPr>
            </w:pPr>
            <w:r>
              <w:rPr>
                <w:b/>
                <w:bCs/>
                <w:sz w:val="20"/>
                <w:szCs w:val="18"/>
              </w:rPr>
              <w:t>Yes</w:t>
            </w:r>
          </w:p>
        </w:tc>
      </w:tr>
      <w:tr w:rsidR="00EA517D" w:rsidRPr="006B3877" w14:paraId="0CCBF7BA" w14:textId="77777777" w:rsidTr="00061C9F">
        <w:trPr>
          <w:trHeight w:val="334"/>
        </w:trPr>
        <w:tc>
          <w:tcPr>
            <w:tcW w:w="9067" w:type="dxa"/>
          </w:tcPr>
          <w:p w14:paraId="5A683334" w14:textId="36A080F7" w:rsidR="00EA517D" w:rsidRPr="006B3877" w:rsidRDefault="001D2E80" w:rsidP="00BF541E">
            <w:pPr>
              <w:pStyle w:val="ListParagraph"/>
              <w:numPr>
                <w:ilvl w:val="0"/>
                <w:numId w:val="11"/>
              </w:numPr>
              <w:rPr>
                <w:b/>
                <w:bCs/>
                <w:sz w:val="20"/>
                <w:szCs w:val="18"/>
              </w:rPr>
            </w:pPr>
            <w:r w:rsidRPr="006B3877">
              <w:rPr>
                <w:sz w:val="20"/>
                <w:szCs w:val="18"/>
              </w:rPr>
              <w:t xml:space="preserve">Go beyond activities that are funded through </w:t>
            </w:r>
            <w:r w:rsidR="00D7667C" w:rsidRPr="006B3877">
              <w:rPr>
                <w:sz w:val="20"/>
                <w:szCs w:val="18"/>
              </w:rPr>
              <w:t>other</w:t>
            </w:r>
            <w:r w:rsidRPr="006B3877">
              <w:rPr>
                <w:sz w:val="20"/>
                <w:szCs w:val="18"/>
              </w:rPr>
              <w:t xml:space="preserve"> price control mechanism</w:t>
            </w:r>
            <w:r w:rsidR="00D7667C" w:rsidRPr="006B3877">
              <w:rPr>
                <w:sz w:val="20"/>
                <w:szCs w:val="18"/>
              </w:rPr>
              <w:t>(s)</w:t>
            </w:r>
            <w:r w:rsidRPr="006B3877">
              <w:rPr>
                <w:sz w:val="20"/>
                <w:szCs w:val="18"/>
              </w:rPr>
              <w:t xml:space="preserve"> or required through licence obligations; and</w:t>
            </w:r>
          </w:p>
          <w:p w14:paraId="1DFA3D40" w14:textId="70933514" w:rsidR="00EA517D" w:rsidRPr="006B3877" w:rsidRDefault="00EA517D" w:rsidP="00BF541E">
            <w:pPr>
              <w:rPr>
                <w:b/>
                <w:bCs/>
                <w:sz w:val="20"/>
                <w:szCs w:val="18"/>
              </w:rPr>
            </w:pPr>
          </w:p>
        </w:tc>
        <w:tc>
          <w:tcPr>
            <w:tcW w:w="1134" w:type="dxa"/>
            <w:vAlign w:val="center"/>
          </w:tcPr>
          <w:p w14:paraId="240C7407" w14:textId="59EFFE8E" w:rsidR="00EA517D" w:rsidRPr="006B3877" w:rsidRDefault="000A4331" w:rsidP="00AA1B27">
            <w:pPr>
              <w:jc w:val="center"/>
              <w:rPr>
                <w:b/>
                <w:bCs/>
                <w:sz w:val="20"/>
                <w:szCs w:val="18"/>
              </w:rPr>
            </w:pPr>
            <w:r>
              <w:rPr>
                <w:b/>
                <w:bCs/>
                <w:sz w:val="20"/>
                <w:szCs w:val="18"/>
              </w:rPr>
              <w:t>Yes</w:t>
            </w:r>
          </w:p>
        </w:tc>
      </w:tr>
      <w:tr w:rsidR="001D2E80" w:rsidRPr="006B3877" w14:paraId="421B46B5" w14:textId="77777777" w:rsidTr="00061C9F">
        <w:trPr>
          <w:trHeight w:val="334"/>
        </w:trPr>
        <w:tc>
          <w:tcPr>
            <w:tcW w:w="9067" w:type="dxa"/>
          </w:tcPr>
          <w:p w14:paraId="11CBC0DE" w14:textId="745893C9" w:rsidR="001D2E80" w:rsidRPr="006B3877" w:rsidRDefault="001D2E80" w:rsidP="001D2E80">
            <w:pPr>
              <w:pStyle w:val="ListParagraph"/>
              <w:numPr>
                <w:ilvl w:val="0"/>
                <w:numId w:val="11"/>
              </w:numPr>
              <w:rPr>
                <w:b/>
                <w:bCs/>
                <w:sz w:val="20"/>
                <w:szCs w:val="20"/>
              </w:rPr>
            </w:pPr>
            <w:r w:rsidRPr="2C10E815">
              <w:rPr>
                <w:sz w:val="20"/>
                <w:szCs w:val="20"/>
              </w:rPr>
              <w:t xml:space="preserve">Not be delivered through other external funding sources directly accessed by a GDN, including through other government (national, </w:t>
            </w:r>
            <w:r w:rsidR="2E43DC25" w:rsidRPr="2C10E815">
              <w:rPr>
                <w:sz w:val="20"/>
                <w:szCs w:val="20"/>
              </w:rPr>
              <w:t>devolved,</w:t>
            </w:r>
            <w:r w:rsidRPr="2C10E815">
              <w:rPr>
                <w:sz w:val="20"/>
                <w:szCs w:val="20"/>
              </w:rPr>
              <w:t xml:space="preserve"> or local) funding. </w:t>
            </w:r>
          </w:p>
          <w:p w14:paraId="21EEABF5" w14:textId="6D3E8045" w:rsidR="001D2E80" w:rsidRPr="006B3877" w:rsidRDefault="001D2E80" w:rsidP="001D2E80">
            <w:pPr>
              <w:rPr>
                <w:sz w:val="20"/>
                <w:szCs w:val="18"/>
              </w:rPr>
            </w:pPr>
          </w:p>
        </w:tc>
        <w:tc>
          <w:tcPr>
            <w:tcW w:w="1134" w:type="dxa"/>
            <w:vAlign w:val="center"/>
          </w:tcPr>
          <w:p w14:paraId="5C479B3C" w14:textId="58C1AB36" w:rsidR="001D2E80" w:rsidRPr="006B3877" w:rsidRDefault="000A4331" w:rsidP="00AA1B27">
            <w:pPr>
              <w:jc w:val="center"/>
              <w:rPr>
                <w:b/>
                <w:bCs/>
                <w:sz w:val="20"/>
                <w:szCs w:val="18"/>
              </w:rPr>
            </w:pPr>
            <w:r>
              <w:rPr>
                <w:b/>
                <w:bCs/>
                <w:sz w:val="20"/>
                <w:szCs w:val="18"/>
              </w:rPr>
              <w:t>Yes</w:t>
            </w:r>
          </w:p>
        </w:tc>
      </w:tr>
      <w:tr w:rsidR="00061C9F" w:rsidRPr="004462A4" w14:paraId="3C7074FA" w14:textId="77777777" w:rsidTr="00061C9F">
        <w:trPr>
          <w:trHeight w:val="334"/>
        </w:trPr>
        <w:tc>
          <w:tcPr>
            <w:tcW w:w="10201" w:type="dxa"/>
            <w:gridSpan w:val="2"/>
          </w:tcPr>
          <w:p w14:paraId="4C8DE95B" w14:textId="77777777" w:rsidR="00061C9F" w:rsidRDefault="00061C9F" w:rsidP="002928AE">
            <w:pPr>
              <w:rPr>
                <w:sz w:val="20"/>
                <w:szCs w:val="20"/>
              </w:rPr>
            </w:pPr>
            <w:r w:rsidRPr="004462A4">
              <w:rPr>
                <w:b/>
                <w:bCs/>
                <w:sz w:val="20"/>
                <w:szCs w:val="20"/>
              </w:rPr>
              <w:t xml:space="preserve">Section </w:t>
            </w:r>
            <w:r>
              <w:rPr>
                <w:b/>
                <w:bCs/>
                <w:sz w:val="20"/>
                <w:szCs w:val="20"/>
              </w:rPr>
              <w:t>2</w:t>
            </w:r>
            <w:r w:rsidRPr="004462A4">
              <w:rPr>
                <w:b/>
                <w:bCs/>
                <w:sz w:val="20"/>
                <w:szCs w:val="20"/>
              </w:rPr>
              <w:t xml:space="preserve"> - </w:t>
            </w:r>
            <w:r w:rsidRPr="00BA22A5">
              <w:rPr>
                <w:b/>
                <w:bCs/>
                <w:sz w:val="20"/>
                <w:szCs w:val="20"/>
              </w:rPr>
              <w:t>Eligibility criteria for company specific essential gas appliance servicing</w:t>
            </w:r>
            <w:r w:rsidRPr="00BA22A5">
              <w:rPr>
                <w:sz w:val="20"/>
                <w:szCs w:val="20"/>
              </w:rPr>
              <w:t xml:space="preserve"> </w:t>
            </w:r>
          </w:p>
          <w:p w14:paraId="7B3E18AE" w14:textId="77777777" w:rsidR="00061C9F" w:rsidRDefault="00061C9F" w:rsidP="002928AE">
            <w:pPr>
              <w:rPr>
                <w:sz w:val="20"/>
                <w:szCs w:val="20"/>
              </w:rPr>
            </w:pPr>
          </w:p>
          <w:p w14:paraId="1845B623" w14:textId="77777777" w:rsidR="00061C9F" w:rsidRPr="00BA22A5" w:rsidRDefault="00061C9F" w:rsidP="002928AE">
            <w:pPr>
              <w:rPr>
                <w:sz w:val="20"/>
                <w:szCs w:val="20"/>
              </w:rPr>
            </w:pPr>
            <w:r w:rsidRPr="00BA22A5">
              <w:rPr>
                <w:sz w:val="20"/>
                <w:szCs w:val="20"/>
              </w:rPr>
              <w:t>To qualify as a VCMA Project, essential gas appliance servicing must meet the following criteria:</w:t>
            </w:r>
          </w:p>
          <w:p w14:paraId="456917FC" w14:textId="77777777" w:rsidR="00061C9F" w:rsidRPr="004462A4" w:rsidRDefault="00061C9F" w:rsidP="002928AE">
            <w:pPr>
              <w:rPr>
                <w:b/>
                <w:bCs/>
                <w:sz w:val="20"/>
                <w:szCs w:val="20"/>
              </w:rPr>
            </w:pPr>
          </w:p>
          <w:p w14:paraId="6BC9EC05" w14:textId="77777777" w:rsidR="00061C9F" w:rsidRPr="004462A4" w:rsidRDefault="00061C9F" w:rsidP="002928AE">
            <w:pPr>
              <w:rPr>
                <w:b/>
                <w:bCs/>
                <w:sz w:val="20"/>
                <w:szCs w:val="20"/>
              </w:rPr>
            </w:pPr>
          </w:p>
        </w:tc>
      </w:tr>
      <w:tr w:rsidR="00061C9F" w:rsidRPr="004A5ECB" w14:paraId="673A5303" w14:textId="77777777" w:rsidTr="00061C9F">
        <w:trPr>
          <w:trHeight w:val="334"/>
        </w:trPr>
        <w:tc>
          <w:tcPr>
            <w:tcW w:w="9067" w:type="dxa"/>
          </w:tcPr>
          <w:p w14:paraId="414469B8" w14:textId="77777777" w:rsidR="00061C9F" w:rsidRDefault="00061C9F" w:rsidP="00061C9F">
            <w:pPr>
              <w:pStyle w:val="ListParagraph"/>
              <w:numPr>
                <w:ilvl w:val="0"/>
                <w:numId w:val="36"/>
              </w:numPr>
              <w:rPr>
                <w:sz w:val="20"/>
                <w:szCs w:val="20"/>
              </w:rPr>
            </w:pPr>
          </w:p>
          <w:p w14:paraId="78989BF2" w14:textId="77777777" w:rsidR="00061C9F" w:rsidRPr="00BA22A5" w:rsidRDefault="00061C9F" w:rsidP="00061C9F">
            <w:pPr>
              <w:pStyle w:val="ListParagraph"/>
              <w:numPr>
                <w:ilvl w:val="0"/>
                <w:numId w:val="37"/>
              </w:numPr>
              <w:rPr>
                <w:sz w:val="20"/>
                <w:szCs w:val="20"/>
              </w:rPr>
            </w:pPr>
            <w:r w:rsidRPr="00BA22A5">
              <w:rPr>
                <w:sz w:val="20"/>
                <w:szCs w:val="20"/>
              </w:rPr>
              <w:t xml:space="preserve">GDN has had to isolate and condemn an essential gas appliance following a supply interruption or as part of its emergency service role; </w:t>
            </w:r>
            <w:r>
              <w:rPr>
                <w:sz w:val="20"/>
                <w:szCs w:val="20"/>
              </w:rPr>
              <w:t>or</w:t>
            </w:r>
          </w:p>
          <w:p w14:paraId="11A38688" w14:textId="77777777" w:rsidR="00061C9F" w:rsidRDefault="00061C9F" w:rsidP="00061C9F">
            <w:pPr>
              <w:pStyle w:val="ListParagraph"/>
              <w:numPr>
                <w:ilvl w:val="0"/>
                <w:numId w:val="37"/>
              </w:numPr>
              <w:rPr>
                <w:sz w:val="20"/>
                <w:szCs w:val="20"/>
              </w:rPr>
            </w:pPr>
            <w:r w:rsidRPr="00BA22A5">
              <w:rPr>
                <w:sz w:val="20"/>
                <w:szCs w:val="20"/>
              </w:rPr>
              <w:t>a GDN or its Project Partner has identified an essential gas appliance which has not been serviced in the last 12 months in the owner-occupied home of a customer in a Vulnerable Situation where an occupier of the property suffers from a permanent or temporary health condition that makes them more vulnerable to health risks associated with cold homes;</w:t>
            </w:r>
            <w:r>
              <w:rPr>
                <w:sz w:val="20"/>
                <w:szCs w:val="20"/>
              </w:rPr>
              <w:t xml:space="preserve"> or</w:t>
            </w:r>
          </w:p>
          <w:p w14:paraId="496CCD5F" w14:textId="77777777" w:rsidR="00061C9F" w:rsidRPr="004A5ECB" w:rsidRDefault="00061C9F" w:rsidP="00061C9F">
            <w:pPr>
              <w:pStyle w:val="ListParagraph"/>
              <w:numPr>
                <w:ilvl w:val="0"/>
                <w:numId w:val="37"/>
              </w:numPr>
              <w:rPr>
                <w:sz w:val="20"/>
                <w:szCs w:val="20"/>
              </w:rPr>
            </w:pPr>
            <w:r w:rsidRPr="004A5ECB">
              <w:rPr>
                <w:sz w:val="20"/>
                <w:szCs w:val="20"/>
              </w:rPr>
              <w:t xml:space="preserve">a GDN or its Project Partner has identified an essential gas appliance which has not been serviced in the last 12 months in a tenant-occupied home of a customer in a Vulnerable Situation where it is the tenant’s responsibility to maintain the essential gas appliance, where an occupier of the property suffers from a permanent or temporary health condition that makes them more vulnerable to health risks associated with cold homes; and </w:t>
            </w:r>
          </w:p>
        </w:tc>
        <w:tc>
          <w:tcPr>
            <w:tcW w:w="1134" w:type="dxa"/>
          </w:tcPr>
          <w:p w14:paraId="6E0F97AA" w14:textId="77777777" w:rsidR="00061C9F" w:rsidRPr="004A5ECB" w:rsidRDefault="00061C9F" w:rsidP="002928AE">
            <w:pPr>
              <w:rPr>
                <w:b/>
                <w:bCs/>
                <w:sz w:val="20"/>
                <w:szCs w:val="20"/>
              </w:rPr>
            </w:pPr>
            <w:r>
              <w:rPr>
                <w:b/>
                <w:bCs/>
                <w:sz w:val="20"/>
                <w:szCs w:val="20"/>
              </w:rPr>
              <w:t>N/A</w:t>
            </w:r>
          </w:p>
        </w:tc>
      </w:tr>
      <w:tr w:rsidR="00061C9F" w:rsidRPr="004462A4" w14:paraId="13F95907" w14:textId="77777777" w:rsidTr="00061C9F">
        <w:trPr>
          <w:trHeight w:val="334"/>
        </w:trPr>
        <w:tc>
          <w:tcPr>
            <w:tcW w:w="9067" w:type="dxa"/>
          </w:tcPr>
          <w:p w14:paraId="438F767A" w14:textId="77777777" w:rsidR="00061C9F" w:rsidRPr="004A5ECB" w:rsidRDefault="00061C9F" w:rsidP="00061C9F">
            <w:pPr>
              <w:pStyle w:val="ListParagraph"/>
              <w:numPr>
                <w:ilvl w:val="0"/>
                <w:numId w:val="36"/>
              </w:numPr>
              <w:rPr>
                <w:sz w:val="20"/>
                <w:szCs w:val="20"/>
              </w:rPr>
            </w:pPr>
            <w:r w:rsidRPr="004A5ECB">
              <w:rPr>
                <w:sz w:val="20"/>
                <w:szCs w:val="20"/>
              </w:rPr>
              <w:t xml:space="preserve">the household cannot afford to service the essential gas appliance, as assessed against the affordability criteria in the Energy Company Obligation (ECO4) Guidance: Delivery document; and </w:t>
            </w:r>
          </w:p>
        </w:tc>
        <w:tc>
          <w:tcPr>
            <w:tcW w:w="1134" w:type="dxa"/>
          </w:tcPr>
          <w:p w14:paraId="71C0FEBC" w14:textId="77777777" w:rsidR="00061C9F" w:rsidRPr="004462A4" w:rsidRDefault="00061C9F" w:rsidP="002928AE">
            <w:pPr>
              <w:rPr>
                <w:b/>
                <w:bCs/>
                <w:sz w:val="20"/>
                <w:szCs w:val="20"/>
              </w:rPr>
            </w:pPr>
            <w:r>
              <w:rPr>
                <w:b/>
                <w:bCs/>
                <w:sz w:val="20"/>
                <w:szCs w:val="20"/>
              </w:rPr>
              <w:t>N/A</w:t>
            </w:r>
          </w:p>
        </w:tc>
      </w:tr>
      <w:tr w:rsidR="00061C9F" w:rsidRPr="004462A4" w14:paraId="07EC5D0E" w14:textId="77777777" w:rsidTr="00061C9F">
        <w:trPr>
          <w:trHeight w:val="334"/>
        </w:trPr>
        <w:tc>
          <w:tcPr>
            <w:tcW w:w="9067" w:type="dxa"/>
          </w:tcPr>
          <w:p w14:paraId="5FD91637" w14:textId="77777777" w:rsidR="00061C9F" w:rsidRPr="004A5ECB" w:rsidRDefault="00061C9F" w:rsidP="00061C9F">
            <w:pPr>
              <w:pStyle w:val="ListParagraph"/>
              <w:numPr>
                <w:ilvl w:val="0"/>
                <w:numId w:val="36"/>
              </w:numPr>
              <w:rPr>
                <w:sz w:val="20"/>
                <w:szCs w:val="20"/>
              </w:rPr>
            </w:pPr>
            <w:r w:rsidRPr="004A5ECB">
              <w:rPr>
                <w:sz w:val="20"/>
                <w:szCs w:val="20"/>
              </w:rPr>
              <w:t xml:space="preserve">sufficient funding is not available from other sources (including a social or private landlord and national, devolved, or local government funding) to fund the essential gas appliance servicing. </w:t>
            </w:r>
          </w:p>
        </w:tc>
        <w:tc>
          <w:tcPr>
            <w:tcW w:w="1134" w:type="dxa"/>
          </w:tcPr>
          <w:p w14:paraId="2636306C" w14:textId="77777777" w:rsidR="00061C9F" w:rsidRPr="004462A4" w:rsidRDefault="00061C9F" w:rsidP="002928AE">
            <w:pPr>
              <w:rPr>
                <w:b/>
                <w:bCs/>
                <w:sz w:val="20"/>
                <w:szCs w:val="20"/>
              </w:rPr>
            </w:pPr>
            <w:r>
              <w:rPr>
                <w:b/>
                <w:bCs/>
                <w:sz w:val="20"/>
                <w:szCs w:val="20"/>
              </w:rPr>
              <w:t>N/A</w:t>
            </w:r>
          </w:p>
        </w:tc>
      </w:tr>
      <w:tr w:rsidR="001D2E80" w:rsidRPr="006B3877" w14:paraId="3F27F133" w14:textId="77777777" w:rsidTr="00061C9F">
        <w:trPr>
          <w:trHeight w:val="334"/>
        </w:trPr>
        <w:tc>
          <w:tcPr>
            <w:tcW w:w="10201" w:type="dxa"/>
            <w:gridSpan w:val="2"/>
          </w:tcPr>
          <w:p w14:paraId="7880C9B9" w14:textId="13E15EA5" w:rsidR="001D2E80" w:rsidRPr="006B3877" w:rsidRDefault="001D2E80" w:rsidP="001D2E80">
            <w:pPr>
              <w:rPr>
                <w:b/>
                <w:bCs/>
                <w:sz w:val="20"/>
                <w:szCs w:val="20"/>
              </w:rPr>
            </w:pPr>
            <w:r w:rsidRPr="2C10E815">
              <w:rPr>
                <w:b/>
                <w:bCs/>
                <w:sz w:val="20"/>
                <w:szCs w:val="20"/>
              </w:rPr>
              <w:t xml:space="preserve">Section </w:t>
            </w:r>
            <w:r w:rsidR="00061C9F">
              <w:rPr>
                <w:b/>
                <w:bCs/>
                <w:sz w:val="20"/>
                <w:szCs w:val="20"/>
              </w:rPr>
              <w:t>3</w:t>
            </w:r>
            <w:r w:rsidRPr="2C10E815">
              <w:rPr>
                <w:b/>
                <w:bCs/>
                <w:sz w:val="20"/>
                <w:szCs w:val="20"/>
              </w:rPr>
              <w:t xml:space="preserve"> - Eligibility criteria for company specific </w:t>
            </w:r>
            <w:r w:rsidR="00D7667C" w:rsidRPr="2C10E815">
              <w:rPr>
                <w:b/>
                <w:bCs/>
                <w:sz w:val="20"/>
                <w:szCs w:val="20"/>
              </w:rPr>
              <w:t xml:space="preserve">essential gas appliance </w:t>
            </w:r>
            <w:r w:rsidR="4E338D71" w:rsidRPr="2C10E815">
              <w:rPr>
                <w:b/>
                <w:bCs/>
                <w:sz w:val="20"/>
                <w:szCs w:val="20"/>
              </w:rPr>
              <w:t>repair,</w:t>
            </w:r>
            <w:r w:rsidRPr="2C10E815">
              <w:rPr>
                <w:b/>
                <w:bCs/>
                <w:sz w:val="20"/>
                <w:szCs w:val="20"/>
              </w:rPr>
              <w:t xml:space="preserve"> and replacement projects</w:t>
            </w:r>
          </w:p>
          <w:p w14:paraId="7FC7C7B2" w14:textId="77777777" w:rsidR="001D2E80" w:rsidRPr="006B3877" w:rsidRDefault="001D2E80" w:rsidP="001D2E80">
            <w:pPr>
              <w:rPr>
                <w:sz w:val="20"/>
                <w:szCs w:val="18"/>
              </w:rPr>
            </w:pPr>
          </w:p>
          <w:p w14:paraId="2E4503DB" w14:textId="26983D68" w:rsidR="001D2E80" w:rsidRPr="006B3877" w:rsidRDefault="00D7667C" w:rsidP="001D2E80">
            <w:pPr>
              <w:rPr>
                <w:sz w:val="20"/>
                <w:szCs w:val="18"/>
              </w:rPr>
            </w:pPr>
            <w:r w:rsidRPr="006B3877">
              <w:rPr>
                <w:sz w:val="20"/>
                <w:szCs w:val="18"/>
              </w:rPr>
              <w:t xml:space="preserve">In order to qualify as a VCMA project, unsafe pipework and essential gas appliance repair or replacement must meet the following criteria: </w:t>
            </w:r>
          </w:p>
          <w:p w14:paraId="4D0B2219" w14:textId="77777777" w:rsidR="001D2E80" w:rsidRPr="006B3877" w:rsidRDefault="001D2E80" w:rsidP="00BF541E">
            <w:pPr>
              <w:rPr>
                <w:b/>
                <w:bCs/>
                <w:sz w:val="20"/>
                <w:szCs w:val="18"/>
              </w:rPr>
            </w:pPr>
          </w:p>
        </w:tc>
      </w:tr>
      <w:tr w:rsidR="001D2E80" w:rsidRPr="006B3877" w14:paraId="408CE314" w14:textId="77777777" w:rsidTr="00061C9F">
        <w:trPr>
          <w:trHeight w:val="334"/>
        </w:trPr>
        <w:tc>
          <w:tcPr>
            <w:tcW w:w="9067" w:type="dxa"/>
          </w:tcPr>
          <w:p w14:paraId="44CB00F1" w14:textId="5E13EC95" w:rsidR="001D2E80" w:rsidRPr="006B3877" w:rsidRDefault="001D2E80" w:rsidP="001D2E80">
            <w:pPr>
              <w:pStyle w:val="ListParagraph"/>
              <w:numPr>
                <w:ilvl w:val="0"/>
                <w:numId w:val="15"/>
              </w:numPr>
              <w:rPr>
                <w:b/>
                <w:bCs/>
                <w:sz w:val="20"/>
                <w:szCs w:val="20"/>
              </w:rPr>
            </w:pPr>
            <w:r w:rsidRPr="2C10E815">
              <w:rPr>
                <w:sz w:val="20"/>
                <w:szCs w:val="20"/>
              </w:rPr>
              <w:t xml:space="preserve">A GDN </w:t>
            </w:r>
            <w:r w:rsidR="000B45B7" w:rsidRPr="2C10E815">
              <w:rPr>
                <w:sz w:val="20"/>
                <w:szCs w:val="20"/>
              </w:rPr>
              <w:t>must</w:t>
            </w:r>
            <w:r w:rsidR="008C7848" w:rsidRPr="2C10E815">
              <w:rPr>
                <w:sz w:val="20"/>
                <w:szCs w:val="20"/>
              </w:rPr>
              <w:t xml:space="preserve"> isolate and condemn </w:t>
            </w:r>
            <w:r w:rsidR="00D7667C" w:rsidRPr="2C10E815">
              <w:rPr>
                <w:sz w:val="20"/>
                <w:szCs w:val="20"/>
              </w:rPr>
              <w:t>unsafe pipework or an essential gas appliance</w:t>
            </w:r>
            <w:r w:rsidR="008C7848" w:rsidRPr="2C10E815">
              <w:rPr>
                <w:sz w:val="20"/>
                <w:szCs w:val="20"/>
              </w:rPr>
              <w:t xml:space="preserve"> following a supply interruption or as part of its emergency service role; </w:t>
            </w:r>
          </w:p>
          <w:p w14:paraId="4E3CF7EE" w14:textId="382028D3" w:rsidR="001D2E80" w:rsidRPr="006B3877" w:rsidRDefault="001D2E80" w:rsidP="001D2E80">
            <w:pPr>
              <w:rPr>
                <w:b/>
                <w:bCs/>
                <w:sz w:val="20"/>
                <w:szCs w:val="18"/>
              </w:rPr>
            </w:pPr>
          </w:p>
        </w:tc>
        <w:tc>
          <w:tcPr>
            <w:tcW w:w="1134" w:type="dxa"/>
            <w:vAlign w:val="center"/>
          </w:tcPr>
          <w:p w14:paraId="05198EEE" w14:textId="697E6089" w:rsidR="001D2E80" w:rsidRPr="006B3877" w:rsidRDefault="000A4331" w:rsidP="00AA1B27">
            <w:pPr>
              <w:jc w:val="center"/>
              <w:rPr>
                <w:b/>
                <w:bCs/>
                <w:sz w:val="20"/>
                <w:szCs w:val="18"/>
              </w:rPr>
            </w:pPr>
            <w:r>
              <w:rPr>
                <w:b/>
                <w:bCs/>
                <w:sz w:val="20"/>
                <w:szCs w:val="18"/>
              </w:rPr>
              <w:t>N/A</w:t>
            </w:r>
          </w:p>
        </w:tc>
      </w:tr>
      <w:tr w:rsidR="008C7848" w:rsidRPr="006B3877" w14:paraId="7F52FA20" w14:textId="77777777" w:rsidTr="00061C9F">
        <w:trPr>
          <w:trHeight w:val="334"/>
        </w:trPr>
        <w:tc>
          <w:tcPr>
            <w:tcW w:w="9067" w:type="dxa"/>
          </w:tcPr>
          <w:p w14:paraId="132AF6D1" w14:textId="77777777" w:rsidR="00061C9F" w:rsidRPr="00061C9F" w:rsidRDefault="00061C9F" w:rsidP="00061C9F">
            <w:pPr>
              <w:pStyle w:val="ListParagraph"/>
              <w:numPr>
                <w:ilvl w:val="0"/>
                <w:numId w:val="15"/>
              </w:numPr>
              <w:rPr>
                <w:sz w:val="20"/>
                <w:szCs w:val="20"/>
              </w:rPr>
            </w:pPr>
            <w:r w:rsidRPr="00061C9F">
              <w:rPr>
                <w:sz w:val="20"/>
                <w:szCs w:val="20"/>
              </w:rPr>
              <w:t xml:space="preserve">the household cannot afford to repair or replace unsafe pipework or the essential gas appliance, as assessed against the affordability criteria in the Energy Company Obligation (ECO4) Guidance: Delivery document; and </w:t>
            </w:r>
          </w:p>
          <w:p w14:paraId="36E8D9A7" w14:textId="078C0E35" w:rsidR="008C7848" w:rsidRPr="006B3877" w:rsidRDefault="008C7848" w:rsidP="008C7848">
            <w:pPr>
              <w:rPr>
                <w:sz w:val="20"/>
                <w:szCs w:val="18"/>
              </w:rPr>
            </w:pPr>
          </w:p>
        </w:tc>
        <w:tc>
          <w:tcPr>
            <w:tcW w:w="1134" w:type="dxa"/>
            <w:vAlign w:val="center"/>
          </w:tcPr>
          <w:p w14:paraId="1DF29BE2" w14:textId="46E4C479" w:rsidR="008C7848" w:rsidRPr="006B3877" w:rsidRDefault="000A4331" w:rsidP="00AA1B27">
            <w:pPr>
              <w:jc w:val="center"/>
              <w:rPr>
                <w:b/>
                <w:bCs/>
                <w:sz w:val="20"/>
                <w:szCs w:val="18"/>
              </w:rPr>
            </w:pPr>
            <w:r>
              <w:rPr>
                <w:b/>
                <w:bCs/>
                <w:sz w:val="20"/>
                <w:szCs w:val="18"/>
              </w:rPr>
              <w:t>N/A</w:t>
            </w:r>
          </w:p>
        </w:tc>
      </w:tr>
      <w:tr w:rsidR="008C7848" w:rsidRPr="006B3877" w14:paraId="254EA4BD" w14:textId="77777777" w:rsidTr="00061C9F">
        <w:trPr>
          <w:trHeight w:val="334"/>
        </w:trPr>
        <w:tc>
          <w:tcPr>
            <w:tcW w:w="9067" w:type="dxa"/>
          </w:tcPr>
          <w:p w14:paraId="6438571E" w14:textId="1CD967E3" w:rsidR="008C7848" w:rsidRPr="006B3877" w:rsidRDefault="008C7848" w:rsidP="00061C9F">
            <w:pPr>
              <w:pStyle w:val="ListParagraph"/>
              <w:numPr>
                <w:ilvl w:val="0"/>
                <w:numId w:val="15"/>
              </w:numPr>
              <w:rPr>
                <w:b/>
                <w:bCs/>
                <w:sz w:val="20"/>
                <w:szCs w:val="20"/>
              </w:rPr>
            </w:pPr>
            <w:r w:rsidRPr="2C10E815">
              <w:rPr>
                <w:sz w:val="20"/>
                <w:szCs w:val="20"/>
              </w:rPr>
              <w:t xml:space="preserve">Sufficient funding is not available from other sources (including national, </w:t>
            </w:r>
            <w:r w:rsidR="641E1C6D" w:rsidRPr="2C10E815">
              <w:rPr>
                <w:sz w:val="20"/>
                <w:szCs w:val="20"/>
              </w:rPr>
              <w:t>devolved,</w:t>
            </w:r>
            <w:r w:rsidRPr="2C10E815">
              <w:rPr>
                <w:sz w:val="20"/>
                <w:szCs w:val="20"/>
              </w:rPr>
              <w:t xml:space="preserve"> or local government funding) to fund the </w:t>
            </w:r>
            <w:r w:rsidR="00D7667C" w:rsidRPr="2C10E815">
              <w:rPr>
                <w:sz w:val="20"/>
                <w:szCs w:val="20"/>
              </w:rPr>
              <w:t>unsafe pipework</w:t>
            </w:r>
            <w:r w:rsidRPr="2C10E815">
              <w:rPr>
                <w:sz w:val="20"/>
                <w:szCs w:val="20"/>
              </w:rPr>
              <w:t xml:space="preserve"> </w:t>
            </w:r>
            <w:r w:rsidR="00D7667C" w:rsidRPr="2C10E815">
              <w:rPr>
                <w:sz w:val="20"/>
                <w:szCs w:val="20"/>
              </w:rPr>
              <w:t xml:space="preserve">or essential gas appliance </w:t>
            </w:r>
            <w:r w:rsidR="0491D829" w:rsidRPr="2C10E815">
              <w:rPr>
                <w:sz w:val="20"/>
                <w:szCs w:val="20"/>
              </w:rPr>
              <w:t>repair,</w:t>
            </w:r>
            <w:r w:rsidRPr="2C10E815">
              <w:rPr>
                <w:sz w:val="20"/>
                <w:szCs w:val="20"/>
              </w:rPr>
              <w:t xml:space="preserve"> or replacement. </w:t>
            </w:r>
          </w:p>
          <w:p w14:paraId="741A3DD3" w14:textId="64B3E3D5" w:rsidR="008C7848" w:rsidRPr="006B3877" w:rsidRDefault="008C7848" w:rsidP="008C7848">
            <w:pPr>
              <w:rPr>
                <w:sz w:val="20"/>
                <w:szCs w:val="18"/>
              </w:rPr>
            </w:pPr>
          </w:p>
        </w:tc>
        <w:tc>
          <w:tcPr>
            <w:tcW w:w="1134" w:type="dxa"/>
            <w:vAlign w:val="center"/>
          </w:tcPr>
          <w:p w14:paraId="2DC2CD67" w14:textId="51522D66" w:rsidR="008C7848" w:rsidRPr="006B3877" w:rsidRDefault="000A4331" w:rsidP="00AA1B27">
            <w:pPr>
              <w:jc w:val="center"/>
              <w:rPr>
                <w:b/>
                <w:bCs/>
                <w:sz w:val="20"/>
                <w:szCs w:val="18"/>
              </w:rPr>
            </w:pPr>
            <w:r>
              <w:rPr>
                <w:b/>
                <w:bCs/>
                <w:sz w:val="20"/>
                <w:szCs w:val="18"/>
              </w:rPr>
              <w:t>N/A</w:t>
            </w:r>
          </w:p>
        </w:tc>
      </w:tr>
      <w:tr w:rsidR="008C7848" w:rsidRPr="00014DB6" w14:paraId="03D6BC32" w14:textId="77777777" w:rsidTr="00061C9F">
        <w:trPr>
          <w:trHeight w:val="312"/>
        </w:trPr>
        <w:tc>
          <w:tcPr>
            <w:tcW w:w="10201" w:type="dxa"/>
            <w:gridSpan w:val="2"/>
          </w:tcPr>
          <w:p w14:paraId="7E1EAD51" w14:textId="4D2503D5" w:rsidR="008C7848" w:rsidRPr="00844D41" w:rsidRDefault="008C7848" w:rsidP="00BF541E">
            <w:pPr>
              <w:rPr>
                <w:b/>
                <w:sz w:val="20"/>
                <w:szCs w:val="18"/>
              </w:rPr>
            </w:pPr>
            <w:r w:rsidRPr="00844D41">
              <w:rPr>
                <w:b/>
                <w:sz w:val="20"/>
                <w:szCs w:val="18"/>
              </w:rPr>
              <w:t xml:space="preserve">Section </w:t>
            </w:r>
            <w:r w:rsidR="00061C9F">
              <w:rPr>
                <w:b/>
                <w:sz w:val="20"/>
                <w:szCs w:val="18"/>
              </w:rPr>
              <w:t>4</w:t>
            </w:r>
            <w:r w:rsidRPr="00844D41">
              <w:rPr>
                <w:b/>
                <w:sz w:val="20"/>
                <w:szCs w:val="18"/>
              </w:rPr>
              <w:t xml:space="preserve"> - Eligibility criteria for collaborative VCMA projects</w:t>
            </w:r>
          </w:p>
          <w:p w14:paraId="79EBEFAA" w14:textId="77777777" w:rsidR="008C7848" w:rsidRPr="00844D41" w:rsidRDefault="008C7848" w:rsidP="00BF541E">
            <w:pPr>
              <w:rPr>
                <w:b/>
                <w:sz w:val="20"/>
                <w:szCs w:val="18"/>
              </w:rPr>
            </w:pPr>
          </w:p>
          <w:p w14:paraId="44B07B7B" w14:textId="3829D200" w:rsidR="008C7848" w:rsidRPr="00844D41" w:rsidRDefault="008C7848" w:rsidP="00BF541E">
            <w:pPr>
              <w:rPr>
                <w:sz w:val="20"/>
                <w:szCs w:val="18"/>
              </w:rPr>
            </w:pPr>
            <w:r w:rsidRPr="00844D41">
              <w:rPr>
                <w:sz w:val="20"/>
                <w:szCs w:val="18"/>
              </w:rPr>
              <w:lastRenderedPageBreak/>
              <w:t>In order to qualify as a collaborative VCMA project, a project must:</w:t>
            </w:r>
          </w:p>
          <w:p w14:paraId="529D9E82" w14:textId="4F85378A" w:rsidR="008C7848" w:rsidRPr="00844D41" w:rsidRDefault="008C7848" w:rsidP="00BF541E">
            <w:pPr>
              <w:rPr>
                <w:b/>
                <w:sz w:val="20"/>
                <w:szCs w:val="18"/>
              </w:rPr>
            </w:pPr>
          </w:p>
        </w:tc>
      </w:tr>
      <w:tr w:rsidR="008C7848" w:rsidRPr="00014DB6" w14:paraId="57FFDDF9" w14:textId="77777777" w:rsidTr="00061C9F">
        <w:trPr>
          <w:trHeight w:val="312"/>
        </w:trPr>
        <w:tc>
          <w:tcPr>
            <w:tcW w:w="9067" w:type="dxa"/>
          </w:tcPr>
          <w:p w14:paraId="5FFE6AE8" w14:textId="39B201BA" w:rsidR="008C7848" w:rsidRPr="00061C9F" w:rsidRDefault="008C7848" w:rsidP="00061C9F">
            <w:pPr>
              <w:pStyle w:val="ListParagraph"/>
              <w:numPr>
                <w:ilvl w:val="0"/>
                <w:numId w:val="17"/>
              </w:numPr>
              <w:rPr>
                <w:b/>
                <w:sz w:val="20"/>
                <w:szCs w:val="18"/>
              </w:rPr>
            </w:pPr>
            <w:r w:rsidRPr="00061C9F">
              <w:rPr>
                <w:sz w:val="20"/>
                <w:szCs w:val="18"/>
              </w:rPr>
              <w:lastRenderedPageBreak/>
              <w:t xml:space="preserve">Meet the above </w:t>
            </w:r>
            <w:r w:rsidR="009416EF" w:rsidRPr="00061C9F">
              <w:rPr>
                <w:sz w:val="20"/>
                <w:szCs w:val="18"/>
              </w:rPr>
              <w:t xml:space="preserve">company specific </w:t>
            </w:r>
            <w:r w:rsidR="00061C9F" w:rsidRPr="00061C9F">
              <w:rPr>
                <w:sz w:val="20"/>
                <w:szCs w:val="18"/>
              </w:rPr>
              <w:t xml:space="preserve">project eligibility criteria set out in sections 1-3 above; and </w:t>
            </w:r>
          </w:p>
        </w:tc>
        <w:tc>
          <w:tcPr>
            <w:tcW w:w="1134" w:type="dxa"/>
            <w:vAlign w:val="center"/>
          </w:tcPr>
          <w:p w14:paraId="3E582E95" w14:textId="4A0F105E" w:rsidR="008C7848" w:rsidRPr="00014DB6" w:rsidRDefault="00061C9F" w:rsidP="00AA1B27">
            <w:pPr>
              <w:jc w:val="center"/>
              <w:rPr>
                <w:b/>
                <w:bCs/>
                <w:sz w:val="22"/>
              </w:rPr>
            </w:pPr>
            <w:r>
              <w:rPr>
                <w:b/>
                <w:bCs/>
                <w:sz w:val="20"/>
                <w:szCs w:val="18"/>
              </w:rPr>
              <w:t>Yes</w:t>
            </w:r>
          </w:p>
        </w:tc>
      </w:tr>
      <w:tr w:rsidR="008C7848" w:rsidRPr="00014DB6" w14:paraId="75D55F38" w14:textId="77777777" w:rsidTr="00061C9F">
        <w:trPr>
          <w:trHeight w:val="312"/>
        </w:trPr>
        <w:tc>
          <w:tcPr>
            <w:tcW w:w="9067" w:type="dxa"/>
          </w:tcPr>
          <w:p w14:paraId="528AE9F2" w14:textId="2633E081" w:rsidR="008C7848" w:rsidRPr="00844D41" w:rsidRDefault="009416EF" w:rsidP="00BF541E">
            <w:pPr>
              <w:pStyle w:val="ListParagraph"/>
              <w:numPr>
                <w:ilvl w:val="0"/>
                <w:numId w:val="17"/>
              </w:numPr>
              <w:rPr>
                <w:b/>
                <w:sz w:val="20"/>
                <w:szCs w:val="18"/>
              </w:rPr>
            </w:pPr>
            <w:r w:rsidRPr="00844D41">
              <w:rPr>
                <w:sz w:val="20"/>
                <w:szCs w:val="18"/>
              </w:rPr>
              <w:t xml:space="preserve">Have the potential to </w:t>
            </w:r>
            <w:r w:rsidR="009F384D" w:rsidRPr="00844D41">
              <w:rPr>
                <w:sz w:val="20"/>
                <w:szCs w:val="18"/>
              </w:rPr>
              <w:t>b</w:t>
            </w:r>
            <w:r w:rsidRPr="00844D41">
              <w:rPr>
                <w:sz w:val="20"/>
                <w:szCs w:val="18"/>
              </w:rPr>
              <w:t>enefit c</w:t>
            </w:r>
            <w:r w:rsidR="009F384D" w:rsidRPr="00844D41">
              <w:rPr>
                <w:sz w:val="20"/>
                <w:szCs w:val="18"/>
              </w:rPr>
              <w:t>onsumers</w:t>
            </w:r>
            <w:r w:rsidRPr="00844D41">
              <w:rPr>
                <w:sz w:val="20"/>
                <w:szCs w:val="18"/>
              </w:rPr>
              <w:t xml:space="preserve"> on </w:t>
            </w:r>
            <w:r w:rsidR="009F384D" w:rsidRPr="00844D41">
              <w:rPr>
                <w:sz w:val="20"/>
                <w:szCs w:val="18"/>
              </w:rPr>
              <w:t xml:space="preserve">the </w:t>
            </w:r>
            <w:r w:rsidRPr="00844D41">
              <w:rPr>
                <w:sz w:val="20"/>
                <w:szCs w:val="18"/>
              </w:rPr>
              <w:t>participating networks; and</w:t>
            </w:r>
          </w:p>
          <w:p w14:paraId="0DF37D1D" w14:textId="6A441FF5" w:rsidR="008C7848" w:rsidRPr="00844D41" w:rsidRDefault="008C7848" w:rsidP="00BF541E">
            <w:pPr>
              <w:rPr>
                <w:b/>
                <w:sz w:val="20"/>
                <w:szCs w:val="18"/>
              </w:rPr>
            </w:pPr>
          </w:p>
        </w:tc>
        <w:tc>
          <w:tcPr>
            <w:tcW w:w="1134" w:type="dxa"/>
            <w:vAlign w:val="center"/>
          </w:tcPr>
          <w:p w14:paraId="51138B57" w14:textId="31815AD5" w:rsidR="008C7848" w:rsidRPr="0044381D" w:rsidRDefault="004E4416" w:rsidP="00AA1B27">
            <w:pPr>
              <w:jc w:val="center"/>
              <w:rPr>
                <w:b/>
                <w:bCs/>
                <w:sz w:val="20"/>
                <w:szCs w:val="20"/>
              </w:rPr>
            </w:pPr>
            <w:r w:rsidRPr="0044381D">
              <w:rPr>
                <w:b/>
                <w:bCs/>
                <w:sz w:val="20"/>
                <w:szCs w:val="20"/>
              </w:rPr>
              <w:t>Yes</w:t>
            </w:r>
          </w:p>
        </w:tc>
      </w:tr>
      <w:tr w:rsidR="009416EF" w:rsidRPr="00014DB6" w14:paraId="48BAD2CE" w14:textId="77777777" w:rsidTr="00061C9F">
        <w:trPr>
          <w:trHeight w:val="312"/>
        </w:trPr>
        <w:tc>
          <w:tcPr>
            <w:tcW w:w="9067" w:type="dxa"/>
          </w:tcPr>
          <w:p w14:paraId="295D3C80" w14:textId="36F8DD48" w:rsidR="009416EF" w:rsidRPr="00844D41" w:rsidRDefault="009416EF" w:rsidP="006B3877">
            <w:pPr>
              <w:pStyle w:val="ListParagraph"/>
              <w:numPr>
                <w:ilvl w:val="0"/>
                <w:numId w:val="17"/>
              </w:numPr>
              <w:rPr>
                <w:b/>
                <w:sz w:val="20"/>
                <w:szCs w:val="18"/>
              </w:rPr>
            </w:pPr>
            <w:r w:rsidRPr="00844D41">
              <w:rPr>
                <w:sz w:val="20"/>
                <w:szCs w:val="18"/>
              </w:rPr>
              <w:t xml:space="preserve">Involve two, or more, gas distribution companies. </w:t>
            </w:r>
          </w:p>
        </w:tc>
        <w:tc>
          <w:tcPr>
            <w:tcW w:w="1134" w:type="dxa"/>
            <w:vAlign w:val="center"/>
          </w:tcPr>
          <w:p w14:paraId="373680D8" w14:textId="62C83629" w:rsidR="009416EF" w:rsidRPr="0044381D" w:rsidRDefault="004E4416" w:rsidP="004E2AF1">
            <w:pPr>
              <w:jc w:val="center"/>
              <w:rPr>
                <w:b/>
                <w:bCs/>
                <w:sz w:val="20"/>
                <w:szCs w:val="20"/>
              </w:rPr>
            </w:pPr>
            <w:r w:rsidRPr="0044381D">
              <w:rPr>
                <w:b/>
                <w:bCs/>
                <w:sz w:val="20"/>
                <w:szCs w:val="20"/>
              </w:rPr>
              <w:t>Yes</w:t>
            </w:r>
          </w:p>
          <w:p w14:paraId="45B93089" w14:textId="77777777" w:rsidR="00A86EAB" w:rsidRPr="0044381D" w:rsidRDefault="00A86EAB" w:rsidP="00A86EAB">
            <w:pPr>
              <w:rPr>
                <w:sz w:val="20"/>
                <w:szCs w:val="20"/>
              </w:rPr>
            </w:pPr>
          </w:p>
          <w:p w14:paraId="78E6C906" w14:textId="40F9AEF1" w:rsidR="00A86EAB" w:rsidRPr="0044381D" w:rsidRDefault="00A86EAB" w:rsidP="00A86EAB">
            <w:pPr>
              <w:rPr>
                <w:sz w:val="20"/>
                <w:szCs w:val="20"/>
              </w:rPr>
            </w:pPr>
          </w:p>
        </w:tc>
      </w:tr>
    </w:tbl>
    <w:p w14:paraId="7473E687" w14:textId="77777777" w:rsidR="006B3877" w:rsidRDefault="006B3877" w:rsidP="00BF541E">
      <w:pPr>
        <w:rPr>
          <w:b/>
          <w:bCs/>
        </w:rPr>
      </w:pPr>
    </w:p>
    <w:p w14:paraId="7C3FE415" w14:textId="77777777" w:rsidR="006B3877" w:rsidRDefault="006B3877" w:rsidP="00BF541E">
      <w:pPr>
        <w:rPr>
          <w:b/>
          <w:bCs/>
        </w:rPr>
      </w:pPr>
    </w:p>
    <w:p w14:paraId="2FC75DDA" w14:textId="77777777" w:rsidR="00C85E4B" w:rsidRDefault="00C85E4B" w:rsidP="00BF541E">
      <w:pPr>
        <w:rPr>
          <w:b/>
          <w:bCs/>
        </w:rPr>
      </w:pPr>
    </w:p>
    <w:p w14:paraId="5180ECB6" w14:textId="77777777" w:rsidR="00C85E4B" w:rsidRDefault="00C85E4B" w:rsidP="00BF541E">
      <w:pPr>
        <w:rPr>
          <w:b/>
          <w:bCs/>
        </w:rPr>
      </w:pPr>
    </w:p>
    <w:p w14:paraId="29E3DF44" w14:textId="77777777" w:rsidR="006B3877" w:rsidRDefault="006B3877" w:rsidP="00BF541E">
      <w:pPr>
        <w:rPr>
          <w:b/>
          <w:bCs/>
        </w:rPr>
      </w:pPr>
    </w:p>
    <w:p w14:paraId="13EF6E52" w14:textId="77777777" w:rsidR="0044381D" w:rsidRDefault="0044381D" w:rsidP="00BF541E">
      <w:pPr>
        <w:rPr>
          <w:b/>
          <w:bCs/>
        </w:rPr>
      </w:pPr>
    </w:p>
    <w:p w14:paraId="2F6CAD92" w14:textId="77777777" w:rsidR="001855C7" w:rsidRDefault="001855C7">
      <w:pPr>
        <w:spacing w:after="160" w:line="259" w:lineRule="auto"/>
        <w:rPr>
          <w:b/>
          <w:sz w:val="22"/>
          <w:szCs w:val="20"/>
        </w:rPr>
      </w:pPr>
      <w:r>
        <w:rPr>
          <w:b/>
          <w:sz w:val="22"/>
          <w:szCs w:val="20"/>
        </w:rPr>
        <w:br w:type="page"/>
      </w:r>
    </w:p>
    <w:p w14:paraId="63F604F3" w14:textId="62353CDC" w:rsidR="00477240" w:rsidRPr="00844D41" w:rsidRDefault="0044254E" w:rsidP="00BF541E">
      <w:pPr>
        <w:rPr>
          <w:b/>
          <w:color w:val="auto"/>
          <w:sz w:val="22"/>
          <w:szCs w:val="20"/>
        </w:rPr>
      </w:pPr>
      <w:r w:rsidRPr="00844D41">
        <w:rPr>
          <w:b/>
          <w:sz w:val="22"/>
          <w:szCs w:val="20"/>
        </w:rPr>
        <w:lastRenderedPageBreak/>
        <w:t>Gas Network Vulnerability and Carbon Monoxide Allowance (VCMA) Governance Document - Project Registration Table 2</w:t>
      </w:r>
    </w:p>
    <w:p w14:paraId="3237AA2F" w14:textId="77777777" w:rsidR="0044254E" w:rsidRPr="003115F2" w:rsidRDefault="0044254E" w:rsidP="00BF541E">
      <w:pPr>
        <w:rPr>
          <w:color w:val="auto"/>
        </w:rPr>
      </w:pPr>
    </w:p>
    <w:tbl>
      <w:tblPr>
        <w:tblStyle w:val="TableGrid"/>
        <w:tblW w:w="5217" w:type="pct"/>
        <w:tblBorders>
          <w:bottom w:val="none" w:sz="0" w:space="0" w:color="auto"/>
        </w:tblBorders>
        <w:tblLayout w:type="fixed"/>
        <w:tblLook w:val="04A0" w:firstRow="1" w:lastRow="0" w:firstColumn="1" w:lastColumn="0" w:noHBand="0" w:noVBand="1"/>
      </w:tblPr>
      <w:tblGrid>
        <w:gridCol w:w="3221"/>
        <w:gridCol w:w="7689"/>
      </w:tblGrid>
      <w:tr w:rsidR="003115F2" w:rsidRPr="00844D41" w14:paraId="11689FA5" w14:textId="77777777" w:rsidTr="00182BE2">
        <w:trPr>
          <w:trHeight w:val="239"/>
        </w:trPr>
        <w:tc>
          <w:tcPr>
            <w:tcW w:w="1476" w:type="pct"/>
          </w:tcPr>
          <w:p w14:paraId="237061DE" w14:textId="77777777" w:rsidR="00BA125F" w:rsidRPr="00844D41" w:rsidRDefault="00BA125F" w:rsidP="00BA125F">
            <w:pPr>
              <w:pStyle w:val="ChartSubtitle"/>
              <w:rPr>
                <w:b/>
                <w:color w:val="auto"/>
                <w:szCs w:val="20"/>
              </w:rPr>
            </w:pPr>
          </w:p>
          <w:p w14:paraId="7B89EEF6" w14:textId="40C14F3D" w:rsidR="00BA125F" w:rsidRPr="00844D41" w:rsidRDefault="00BA125F" w:rsidP="00BA125F">
            <w:pPr>
              <w:pStyle w:val="ChartSubtitle"/>
              <w:rPr>
                <w:b/>
                <w:color w:val="auto"/>
                <w:szCs w:val="20"/>
              </w:rPr>
            </w:pPr>
            <w:r w:rsidRPr="00844D41">
              <w:rPr>
                <w:b/>
                <w:color w:val="auto"/>
                <w:szCs w:val="20"/>
              </w:rPr>
              <w:t>Information Required</w:t>
            </w:r>
          </w:p>
          <w:p w14:paraId="6A77C7BC" w14:textId="2967508D" w:rsidR="00BA125F" w:rsidRPr="00844D41" w:rsidRDefault="00BA125F" w:rsidP="00BA125F">
            <w:pPr>
              <w:pStyle w:val="ChartSubtitle"/>
              <w:rPr>
                <w:b/>
                <w:color w:val="auto"/>
                <w:szCs w:val="20"/>
              </w:rPr>
            </w:pPr>
          </w:p>
        </w:tc>
        <w:tc>
          <w:tcPr>
            <w:tcW w:w="3524" w:type="pct"/>
          </w:tcPr>
          <w:p w14:paraId="365978DA" w14:textId="77777777" w:rsidR="00BA125F" w:rsidRPr="00844D41" w:rsidRDefault="00BA125F" w:rsidP="00BA125F">
            <w:pPr>
              <w:pStyle w:val="ChartSubtitle"/>
              <w:rPr>
                <w:color w:val="auto"/>
                <w:szCs w:val="20"/>
              </w:rPr>
            </w:pPr>
          </w:p>
          <w:p w14:paraId="1036625F" w14:textId="141D3604" w:rsidR="00BA125F" w:rsidRPr="00844D41" w:rsidRDefault="00BA125F" w:rsidP="00BA125F">
            <w:pPr>
              <w:pStyle w:val="ChartSubtitle"/>
              <w:rPr>
                <w:b/>
                <w:color w:val="auto"/>
                <w:szCs w:val="20"/>
              </w:rPr>
            </w:pPr>
            <w:r w:rsidRPr="00844D41">
              <w:rPr>
                <w:b/>
                <w:color w:val="auto"/>
                <w:szCs w:val="20"/>
              </w:rPr>
              <w:t>Description</w:t>
            </w:r>
          </w:p>
        </w:tc>
      </w:tr>
      <w:tr w:rsidR="003115F2" w:rsidRPr="00844D41" w14:paraId="29B3204B" w14:textId="77777777" w:rsidTr="00182BE2">
        <w:trPr>
          <w:trHeight w:val="228"/>
        </w:trPr>
        <w:tc>
          <w:tcPr>
            <w:tcW w:w="1476" w:type="pct"/>
          </w:tcPr>
          <w:p w14:paraId="24727852" w14:textId="4D6DC686" w:rsidR="00BA125F" w:rsidRPr="00844D41" w:rsidRDefault="00BA125F" w:rsidP="00BA125F">
            <w:pPr>
              <w:pStyle w:val="ChartSubtitle"/>
              <w:rPr>
                <w:b/>
                <w:color w:val="auto"/>
                <w:szCs w:val="20"/>
              </w:rPr>
            </w:pPr>
            <w:r w:rsidRPr="00844D41">
              <w:rPr>
                <w:b/>
                <w:color w:val="auto"/>
                <w:szCs w:val="20"/>
              </w:rPr>
              <w:t>Project Title</w:t>
            </w:r>
          </w:p>
          <w:p w14:paraId="75C13B34" w14:textId="57DF1697" w:rsidR="00BA125F" w:rsidRPr="00844D41" w:rsidRDefault="00BA125F" w:rsidP="00BA125F">
            <w:pPr>
              <w:pStyle w:val="ChartSubtitle"/>
              <w:rPr>
                <w:b/>
                <w:color w:val="auto"/>
                <w:szCs w:val="20"/>
              </w:rPr>
            </w:pPr>
          </w:p>
        </w:tc>
        <w:tc>
          <w:tcPr>
            <w:tcW w:w="3524" w:type="pct"/>
          </w:tcPr>
          <w:p w14:paraId="110937EC" w14:textId="1AC38736" w:rsidR="00AA1B27" w:rsidRPr="00844D41" w:rsidRDefault="00EE441F" w:rsidP="2C10E815">
            <w:pPr>
              <w:pStyle w:val="ChartSubtitle"/>
              <w:rPr>
                <w:color w:val="auto"/>
              </w:rPr>
            </w:pPr>
            <w:r w:rsidRPr="2C10E815">
              <w:rPr>
                <w:color w:val="auto"/>
              </w:rPr>
              <w:t>IE Hub</w:t>
            </w:r>
            <w:r w:rsidR="009B4FE5" w:rsidRPr="2C10E815">
              <w:rPr>
                <w:color w:val="auto"/>
              </w:rPr>
              <w:t xml:space="preserve"> -</w:t>
            </w:r>
            <w:r w:rsidR="006540E1" w:rsidRPr="2C10E815">
              <w:rPr>
                <w:color w:val="auto"/>
              </w:rPr>
              <w:t xml:space="preserve"> </w:t>
            </w:r>
            <w:r w:rsidR="00C85E4B" w:rsidRPr="2C10E815">
              <w:rPr>
                <w:color w:val="auto"/>
              </w:rPr>
              <w:t>Collaborative</w:t>
            </w:r>
          </w:p>
        </w:tc>
      </w:tr>
      <w:tr w:rsidR="003115F2" w:rsidRPr="00844D41" w14:paraId="149C9F00" w14:textId="77777777" w:rsidTr="00182BE2">
        <w:trPr>
          <w:trHeight w:val="239"/>
        </w:trPr>
        <w:tc>
          <w:tcPr>
            <w:tcW w:w="1476" w:type="pct"/>
          </w:tcPr>
          <w:p w14:paraId="5A7546BC" w14:textId="77777777" w:rsidR="00BA125F" w:rsidRPr="00844D41" w:rsidRDefault="00BA125F" w:rsidP="00BA125F">
            <w:pPr>
              <w:pStyle w:val="ChartSubtitle"/>
              <w:rPr>
                <w:b/>
                <w:color w:val="auto"/>
                <w:szCs w:val="20"/>
              </w:rPr>
            </w:pPr>
            <w:r w:rsidRPr="00844D41">
              <w:rPr>
                <w:b/>
                <w:color w:val="auto"/>
                <w:szCs w:val="20"/>
              </w:rPr>
              <w:t>Funding GDN(s)</w:t>
            </w:r>
          </w:p>
          <w:p w14:paraId="57EAA2A1" w14:textId="55C750D8" w:rsidR="00BA125F" w:rsidRPr="00844D41" w:rsidRDefault="00BA125F" w:rsidP="00BA125F">
            <w:pPr>
              <w:pStyle w:val="ChartSubtitle"/>
              <w:rPr>
                <w:b/>
                <w:color w:val="auto"/>
                <w:szCs w:val="20"/>
              </w:rPr>
            </w:pPr>
          </w:p>
        </w:tc>
        <w:tc>
          <w:tcPr>
            <w:tcW w:w="3524" w:type="pct"/>
          </w:tcPr>
          <w:p w14:paraId="5B13AD45" w14:textId="77777777" w:rsidR="00DF253B" w:rsidRPr="00844D41" w:rsidRDefault="00DF253B" w:rsidP="00DF253B">
            <w:pPr>
              <w:rPr>
                <w:rFonts w:eastAsia="Arial" w:cstheme="minorHAnsi"/>
                <w:color w:val="auto"/>
                <w:sz w:val="20"/>
                <w:szCs w:val="20"/>
              </w:rPr>
            </w:pPr>
            <w:r w:rsidRPr="00844D41">
              <w:rPr>
                <w:rFonts w:eastAsia="Arial" w:cstheme="minorHAnsi"/>
                <w:color w:val="auto"/>
                <w:sz w:val="20"/>
                <w:szCs w:val="20"/>
              </w:rPr>
              <w:t xml:space="preserve">Cadent, Northern Gas Networks, SGN and Wales &amp; West Utilities </w:t>
            </w:r>
          </w:p>
          <w:p w14:paraId="5F6DDBF8" w14:textId="021F55FD" w:rsidR="00AA1B27" w:rsidRPr="00844D41" w:rsidRDefault="00AA1B27" w:rsidP="00BA125F">
            <w:pPr>
              <w:pStyle w:val="ChartSubtitle"/>
              <w:rPr>
                <w:rFonts w:cstheme="minorHAnsi"/>
                <w:color w:val="auto"/>
                <w:szCs w:val="20"/>
              </w:rPr>
            </w:pPr>
          </w:p>
        </w:tc>
      </w:tr>
      <w:tr w:rsidR="004E2AF1" w:rsidRPr="00844D41" w14:paraId="26361D37" w14:textId="77777777" w:rsidTr="00182BE2">
        <w:trPr>
          <w:trHeight w:val="239"/>
        </w:trPr>
        <w:tc>
          <w:tcPr>
            <w:tcW w:w="1476" w:type="pct"/>
          </w:tcPr>
          <w:p w14:paraId="2A0B8B20" w14:textId="0FDC6F42" w:rsidR="004E2AF1" w:rsidRPr="00844D41" w:rsidRDefault="004E2AF1" w:rsidP="00BA125F">
            <w:pPr>
              <w:pStyle w:val="ChartSubtitle"/>
              <w:rPr>
                <w:b/>
                <w:color w:val="auto"/>
                <w:szCs w:val="20"/>
              </w:rPr>
            </w:pPr>
            <w:r w:rsidRPr="00844D41">
              <w:rPr>
                <w:b/>
                <w:color w:val="auto"/>
                <w:szCs w:val="20"/>
              </w:rPr>
              <w:t>New/ Updated</w:t>
            </w:r>
          </w:p>
          <w:p w14:paraId="7EA0299D" w14:textId="77777777" w:rsidR="004E2AF1" w:rsidRPr="00844D41" w:rsidRDefault="004E2AF1" w:rsidP="00BA125F">
            <w:pPr>
              <w:pStyle w:val="ChartSubtitle"/>
              <w:rPr>
                <w:b/>
                <w:color w:val="auto"/>
                <w:szCs w:val="20"/>
              </w:rPr>
            </w:pPr>
          </w:p>
        </w:tc>
        <w:tc>
          <w:tcPr>
            <w:tcW w:w="3524" w:type="pct"/>
          </w:tcPr>
          <w:p w14:paraId="61697839" w14:textId="4A5228E6" w:rsidR="004E2AF1" w:rsidRPr="00844D41" w:rsidRDefault="004E2AF1" w:rsidP="00DF253B">
            <w:pPr>
              <w:rPr>
                <w:rFonts w:eastAsia="Arial" w:cstheme="minorHAnsi"/>
                <w:color w:val="auto"/>
                <w:sz w:val="20"/>
                <w:szCs w:val="20"/>
              </w:rPr>
            </w:pPr>
            <w:r w:rsidRPr="00844D41">
              <w:rPr>
                <w:rFonts w:eastAsia="Arial" w:cstheme="minorHAnsi"/>
                <w:color w:val="auto"/>
                <w:sz w:val="20"/>
                <w:szCs w:val="20"/>
              </w:rPr>
              <w:t>New</w:t>
            </w:r>
          </w:p>
        </w:tc>
      </w:tr>
      <w:tr w:rsidR="003115F2" w:rsidRPr="00844D41" w14:paraId="720242E9" w14:textId="77777777" w:rsidTr="00182BE2">
        <w:trPr>
          <w:trHeight w:val="239"/>
        </w:trPr>
        <w:tc>
          <w:tcPr>
            <w:tcW w:w="1476" w:type="pct"/>
          </w:tcPr>
          <w:p w14:paraId="6E74412C" w14:textId="5BA55F74" w:rsidR="00BA125F" w:rsidRPr="00844D41" w:rsidRDefault="00BA125F" w:rsidP="00BA125F">
            <w:pPr>
              <w:pStyle w:val="ChartSubtitle"/>
              <w:rPr>
                <w:b/>
                <w:color w:val="auto"/>
                <w:szCs w:val="20"/>
              </w:rPr>
            </w:pPr>
            <w:r w:rsidRPr="00844D41">
              <w:rPr>
                <w:b/>
                <w:color w:val="auto"/>
                <w:szCs w:val="20"/>
              </w:rPr>
              <w:t>Role of GDN(s)</w:t>
            </w:r>
          </w:p>
          <w:p w14:paraId="724BD5C1" w14:textId="7740065E" w:rsidR="00BA125F" w:rsidRPr="00844D41" w:rsidRDefault="00BA125F" w:rsidP="00BA125F">
            <w:pPr>
              <w:pStyle w:val="ChartSubtitle"/>
              <w:rPr>
                <w:b/>
                <w:color w:val="auto"/>
                <w:szCs w:val="20"/>
              </w:rPr>
            </w:pPr>
            <w:r w:rsidRPr="00844D41">
              <w:rPr>
                <w:b/>
                <w:color w:val="auto"/>
                <w:szCs w:val="20"/>
              </w:rPr>
              <w:t>*For Collaborative VCMA Projects only</w:t>
            </w:r>
          </w:p>
          <w:p w14:paraId="578C77AC" w14:textId="3CED1610" w:rsidR="00BA125F" w:rsidRPr="00844D41" w:rsidRDefault="00BA125F" w:rsidP="00BA125F">
            <w:pPr>
              <w:pStyle w:val="ChartSubtitle"/>
              <w:rPr>
                <w:b/>
                <w:color w:val="auto"/>
                <w:szCs w:val="20"/>
              </w:rPr>
            </w:pPr>
          </w:p>
        </w:tc>
        <w:tc>
          <w:tcPr>
            <w:tcW w:w="3524" w:type="pct"/>
          </w:tcPr>
          <w:p w14:paraId="31EBDEE9" w14:textId="2665F261" w:rsidR="00DF253B" w:rsidRPr="00844D41" w:rsidRDefault="00DF253B" w:rsidP="00DF253B">
            <w:pPr>
              <w:rPr>
                <w:rFonts w:eastAsia="Arial" w:cstheme="minorHAnsi"/>
                <w:color w:val="auto"/>
                <w:sz w:val="20"/>
                <w:szCs w:val="20"/>
              </w:rPr>
            </w:pPr>
            <w:r w:rsidRPr="00844D41">
              <w:rPr>
                <w:rFonts w:eastAsia="Arial" w:cstheme="minorHAnsi"/>
                <w:color w:val="auto"/>
                <w:sz w:val="20"/>
                <w:szCs w:val="20"/>
              </w:rPr>
              <w:t xml:space="preserve">Cadent </w:t>
            </w:r>
            <w:r w:rsidR="0044381D" w:rsidRPr="00844D41">
              <w:rPr>
                <w:rFonts w:eastAsia="Arial" w:cstheme="minorHAnsi"/>
                <w:color w:val="auto"/>
                <w:sz w:val="20"/>
                <w:szCs w:val="20"/>
              </w:rPr>
              <w:t>(</w:t>
            </w:r>
            <w:r w:rsidRPr="00844D41">
              <w:rPr>
                <w:rFonts w:eastAsia="Arial" w:cstheme="minorHAnsi"/>
                <w:color w:val="auto"/>
                <w:sz w:val="20"/>
                <w:szCs w:val="20"/>
              </w:rPr>
              <w:t>lead partner</w:t>
            </w:r>
            <w:r w:rsidR="0044381D" w:rsidRPr="00844D41">
              <w:rPr>
                <w:rFonts w:eastAsia="Arial" w:cstheme="minorHAnsi"/>
                <w:color w:val="auto"/>
                <w:sz w:val="20"/>
                <w:szCs w:val="20"/>
              </w:rPr>
              <w:t>)</w:t>
            </w:r>
            <w:r w:rsidRPr="00844D41">
              <w:rPr>
                <w:rFonts w:eastAsia="Arial" w:cstheme="minorHAnsi"/>
                <w:color w:val="auto"/>
                <w:sz w:val="20"/>
                <w:szCs w:val="20"/>
              </w:rPr>
              <w:t>, Northern Gas Networks, SGN and Wales &amp; West Utilities</w:t>
            </w:r>
          </w:p>
          <w:p w14:paraId="42D7F5EC" w14:textId="25522BBD" w:rsidR="00BA125F" w:rsidRPr="00844D41" w:rsidRDefault="00BA125F" w:rsidP="00BA125F">
            <w:pPr>
              <w:pStyle w:val="ChartSubtitle"/>
              <w:rPr>
                <w:rFonts w:cstheme="minorHAnsi"/>
                <w:color w:val="auto"/>
                <w:szCs w:val="20"/>
              </w:rPr>
            </w:pPr>
          </w:p>
        </w:tc>
      </w:tr>
      <w:tr w:rsidR="003115F2" w:rsidRPr="00E52F9E" w14:paraId="18B76A75" w14:textId="77777777" w:rsidTr="00182BE2">
        <w:trPr>
          <w:trHeight w:val="228"/>
        </w:trPr>
        <w:tc>
          <w:tcPr>
            <w:tcW w:w="1476" w:type="pct"/>
          </w:tcPr>
          <w:p w14:paraId="6223B0EE" w14:textId="314264AE" w:rsidR="00BA125F" w:rsidRPr="0096244B" w:rsidRDefault="00BA125F" w:rsidP="00BA125F">
            <w:pPr>
              <w:pStyle w:val="ChartSubtitle"/>
              <w:rPr>
                <w:rFonts w:cstheme="minorHAnsi"/>
                <w:b/>
                <w:color w:val="auto"/>
                <w:szCs w:val="20"/>
              </w:rPr>
            </w:pPr>
            <w:r w:rsidRPr="0096244B">
              <w:rPr>
                <w:rFonts w:cstheme="minorHAnsi"/>
                <w:b/>
                <w:color w:val="auto"/>
                <w:szCs w:val="20"/>
              </w:rPr>
              <w:t>Date</w:t>
            </w:r>
            <w:r w:rsidR="009F384D" w:rsidRPr="0096244B">
              <w:rPr>
                <w:rFonts w:cstheme="minorHAnsi"/>
                <w:b/>
                <w:color w:val="auto"/>
                <w:szCs w:val="20"/>
              </w:rPr>
              <w:t xml:space="preserve"> of PEA Submission</w:t>
            </w:r>
          </w:p>
          <w:p w14:paraId="5BCDDF3A" w14:textId="7CF51B42" w:rsidR="00BA125F" w:rsidRPr="0096244B" w:rsidRDefault="00BA125F" w:rsidP="00BA125F">
            <w:pPr>
              <w:pStyle w:val="ChartSubtitle"/>
              <w:rPr>
                <w:rFonts w:cstheme="minorHAnsi"/>
                <w:b/>
                <w:color w:val="auto"/>
                <w:szCs w:val="20"/>
              </w:rPr>
            </w:pPr>
          </w:p>
        </w:tc>
        <w:tc>
          <w:tcPr>
            <w:tcW w:w="3524" w:type="pct"/>
          </w:tcPr>
          <w:p w14:paraId="03F99435" w14:textId="2898730C" w:rsidR="00BA125F" w:rsidRPr="0096244B" w:rsidRDefault="00EE441F" w:rsidP="00BA125F">
            <w:pPr>
              <w:pStyle w:val="ChartSubtitle"/>
              <w:rPr>
                <w:rFonts w:cstheme="minorHAnsi"/>
                <w:color w:val="auto"/>
                <w:szCs w:val="20"/>
              </w:rPr>
            </w:pPr>
            <w:r w:rsidRPr="0096244B">
              <w:rPr>
                <w:rFonts w:cstheme="minorHAnsi"/>
                <w:color w:val="auto"/>
                <w:szCs w:val="20"/>
              </w:rPr>
              <w:t>July</w:t>
            </w:r>
            <w:r w:rsidR="006540E1" w:rsidRPr="0096244B">
              <w:rPr>
                <w:rFonts w:cstheme="minorHAnsi"/>
                <w:color w:val="auto"/>
                <w:szCs w:val="20"/>
              </w:rPr>
              <w:t xml:space="preserve"> 2024</w:t>
            </w:r>
          </w:p>
        </w:tc>
      </w:tr>
      <w:tr w:rsidR="003115F2" w:rsidRPr="00E52F9E" w14:paraId="7D9093EA" w14:textId="77777777" w:rsidTr="00182BE2">
        <w:trPr>
          <w:trHeight w:val="239"/>
        </w:trPr>
        <w:tc>
          <w:tcPr>
            <w:tcW w:w="1476" w:type="pct"/>
          </w:tcPr>
          <w:p w14:paraId="6839A924" w14:textId="5290E046" w:rsidR="00BA125F" w:rsidRPr="0096244B" w:rsidRDefault="00BA125F" w:rsidP="2C10E815">
            <w:pPr>
              <w:pStyle w:val="ChartSubtitle"/>
              <w:rPr>
                <w:rFonts w:cstheme="minorHAnsi"/>
                <w:b/>
                <w:bCs/>
                <w:color w:val="auto"/>
                <w:szCs w:val="20"/>
              </w:rPr>
            </w:pPr>
            <w:r w:rsidRPr="0096244B">
              <w:rPr>
                <w:rFonts w:cstheme="minorHAnsi"/>
                <w:b/>
                <w:bCs/>
                <w:color w:val="auto"/>
                <w:szCs w:val="20"/>
              </w:rPr>
              <w:t>VCMA Project Contact Name</w:t>
            </w:r>
            <w:r w:rsidR="009F384D" w:rsidRPr="0096244B">
              <w:rPr>
                <w:rFonts w:cstheme="minorHAnsi"/>
                <w:b/>
                <w:bCs/>
                <w:color w:val="auto"/>
                <w:szCs w:val="20"/>
              </w:rPr>
              <w:t xml:space="preserve">, </w:t>
            </w:r>
            <w:r w:rsidR="52A1B27D" w:rsidRPr="0096244B">
              <w:rPr>
                <w:rFonts w:cstheme="minorHAnsi"/>
                <w:b/>
                <w:bCs/>
                <w:color w:val="auto"/>
                <w:szCs w:val="20"/>
              </w:rPr>
              <w:t>email,</w:t>
            </w:r>
            <w:r w:rsidRPr="0096244B">
              <w:rPr>
                <w:rFonts w:cstheme="minorHAnsi"/>
                <w:b/>
                <w:bCs/>
                <w:color w:val="auto"/>
                <w:szCs w:val="20"/>
              </w:rPr>
              <w:t xml:space="preserve"> and Number</w:t>
            </w:r>
          </w:p>
          <w:p w14:paraId="4F7BBCA1" w14:textId="0E478157" w:rsidR="00BA125F" w:rsidRPr="0096244B" w:rsidRDefault="00BA125F" w:rsidP="00BA125F">
            <w:pPr>
              <w:pStyle w:val="ChartSubtitle"/>
              <w:rPr>
                <w:rFonts w:cstheme="minorHAnsi"/>
                <w:b/>
                <w:color w:val="auto"/>
                <w:szCs w:val="20"/>
              </w:rPr>
            </w:pPr>
          </w:p>
        </w:tc>
        <w:tc>
          <w:tcPr>
            <w:tcW w:w="3524" w:type="pct"/>
          </w:tcPr>
          <w:p w14:paraId="7453C2F3" w14:textId="77777777" w:rsidR="006540E1" w:rsidRPr="0096244B" w:rsidRDefault="006540E1" w:rsidP="006540E1">
            <w:pPr>
              <w:pStyle w:val="ChartSubtitle"/>
              <w:jc w:val="both"/>
              <w:rPr>
                <w:rFonts w:cstheme="minorHAnsi"/>
                <w:color w:val="auto"/>
                <w:szCs w:val="20"/>
              </w:rPr>
            </w:pPr>
            <w:r w:rsidRPr="0096244B">
              <w:rPr>
                <w:rFonts w:cstheme="minorHAnsi"/>
                <w:color w:val="auto"/>
                <w:szCs w:val="20"/>
              </w:rPr>
              <w:t>Name: Phil Burrows</w:t>
            </w:r>
          </w:p>
          <w:p w14:paraId="4C6ADFAF" w14:textId="77777777" w:rsidR="006540E1" w:rsidRPr="0096244B" w:rsidRDefault="006540E1" w:rsidP="006540E1">
            <w:pPr>
              <w:pStyle w:val="ChartSubtitle"/>
              <w:jc w:val="both"/>
              <w:rPr>
                <w:rFonts w:cstheme="minorHAnsi"/>
                <w:color w:val="auto"/>
                <w:szCs w:val="20"/>
              </w:rPr>
            </w:pPr>
            <w:r w:rsidRPr="0096244B">
              <w:rPr>
                <w:rFonts w:cstheme="minorHAnsi"/>
                <w:color w:val="auto"/>
                <w:szCs w:val="20"/>
              </w:rPr>
              <w:t>Title: Head of Customer Vulnerability Social Programme Delivery</w:t>
            </w:r>
          </w:p>
          <w:p w14:paraId="3B141CB5" w14:textId="77777777" w:rsidR="006540E1" w:rsidRPr="0096244B" w:rsidRDefault="006540E1" w:rsidP="006540E1">
            <w:pPr>
              <w:pStyle w:val="ChartSubtitle"/>
              <w:jc w:val="both"/>
              <w:rPr>
                <w:rFonts w:cstheme="minorHAnsi"/>
                <w:color w:val="auto"/>
                <w:szCs w:val="20"/>
              </w:rPr>
            </w:pPr>
            <w:r w:rsidRPr="0096244B">
              <w:rPr>
                <w:rFonts w:cstheme="minorHAnsi"/>
                <w:color w:val="auto"/>
                <w:szCs w:val="20"/>
              </w:rPr>
              <w:t>Email: Phil.m.burrows@cadentgas.com</w:t>
            </w:r>
          </w:p>
          <w:p w14:paraId="0D9E2752" w14:textId="77777777" w:rsidR="006540E1" w:rsidRPr="0096244B" w:rsidRDefault="006540E1" w:rsidP="006540E1">
            <w:pPr>
              <w:pStyle w:val="ChartSubtitle"/>
              <w:jc w:val="both"/>
              <w:rPr>
                <w:rFonts w:cstheme="minorHAnsi"/>
                <w:color w:val="auto"/>
                <w:szCs w:val="20"/>
              </w:rPr>
            </w:pPr>
            <w:r w:rsidRPr="0096244B">
              <w:rPr>
                <w:rFonts w:cstheme="minorHAnsi"/>
                <w:color w:val="auto"/>
                <w:szCs w:val="20"/>
              </w:rPr>
              <w:t>Number: 07773 545451</w:t>
            </w:r>
          </w:p>
          <w:p w14:paraId="59005A2F" w14:textId="51A5423E" w:rsidR="00F50B79" w:rsidRPr="0096244B" w:rsidRDefault="00F50B79" w:rsidP="00BA125F">
            <w:pPr>
              <w:pStyle w:val="ChartSubtitle"/>
              <w:rPr>
                <w:rFonts w:cstheme="minorHAnsi"/>
                <w:color w:val="auto"/>
                <w:szCs w:val="20"/>
              </w:rPr>
            </w:pPr>
          </w:p>
        </w:tc>
      </w:tr>
      <w:tr w:rsidR="003115F2" w:rsidRPr="00E52F9E" w14:paraId="7C490A7C" w14:textId="77777777" w:rsidTr="00182BE2">
        <w:trPr>
          <w:trHeight w:val="239"/>
        </w:trPr>
        <w:tc>
          <w:tcPr>
            <w:tcW w:w="1476" w:type="pct"/>
          </w:tcPr>
          <w:p w14:paraId="1E0C3C8D" w14:textId="3EDCF330" w:rsidR="008A1D56" w:rsidRPr="0096244B" w:rsidRDefault="008A1D56" w:rsidP="00BA125F">
            <w:pPr>
              <w:pStyle w:val="ChartSubtitle"/>
              <w:rPr>
                <w:rFonts w:cstheme="minorHAnsi"/>
                <w:b/>
                <w:color w:val="auto"/>
                <w:szCs w:val="20"/>
              </w:rPr>
            </w:pPr>
            <w:r w:rsidRPr="0096244B">
              <w:rPr>
                <w:rFonts w:cstheme="minorHAnsi"/>
                <w:b/>
                <w:color w:val="auto"/>
                <w:szCs w:val="20"/>
              </w:rPr>
              <w:t>Total Cost (£k)</w:t>
            </w:r>
          </w:p>
          <w:p w14:paraId="6D440649" w14:textId="19243B86" w:rsidR="008A1D56" w:rsidRPr="0096244B" w:rsidRDefault="008A1D56" w:rsidP="00BA125F">
            <w:pPr>
              <w:pStyle w:val="ChartSubtitle"/>
              <w:rPr>
                <w:rFonts w:cstheme="minorHAnsi"/>
                <w:b/>
                <w:color w:val="auto"/>
                <w:szCs w:val="20"/>
              </w:rPr>
            </w:pPr>
          </w:p>
        </w:tc>
        <w:tc>
          <w:tcPr>
            <w:tcW w:w="3524" w:type="pct"/>
          </w:tcPr>
          <w:p w14:paraId="3BDC11FE" w14:textId="77777777" w:rsidR="00E718DF" w:rsidRPr="0096244B" w:rsidRDefault="00E718DF" w:rsidP="00296FC7">
            <w:pPr>
              <w:pStyle w:val="ChartSubtitle"/>
              <w:rPr>
                <w:rFonts w:cstheme="minorHAnsi"/>
                <w:color w:val="auto"/>
                <w:szCs w:val="20"/>
              </w:rPr>
            </w:pPr>
          </w:p>
          <w:tbl>
            <w:tblPr>
              <w:tblW w:w="7080" w:type="dxa"/>
              <w:tblLayout w:type="fixed"/>
              <w:tblLook w:val="04A0" w:firstRow="1" w:lastRow="0" w:firstColumn="1" w:lastColumn="0" w:noHBand="0" w:noVBand="1"/>
            </w:tblPr>
            <w:tblGrid>
              <w:gridCol w:w="1320"/>
              <w:gridCol w:w="1460"/>
              <w:gridCol w:w="1560"/>
              <w:gridCol w:w="1360"/>
              <w:gridCol w:w="1380"/>
            </w:tblGrid>
            <w:tr w:rsidR="0096244B" w:rsidRPr="0096244B" w14:paraId="2601D8BA" w14:textId="77777777" w:rsidTr="002668F9">
              <w:trPr>
                <w:trHeight w:val="285"/>
              </w:trPr>
              <w:tc>
                <w:tcPr>
                  <w:tcW w:w="13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0D795AD" w14:textId="77777777" w:rsidR="002668F9" w:rsidRPr="001855C7" w:rsidRDefault="002668F9" w:rsidP="002668F9">
                  <w:pPr>
                    <w:spacing w:line="240" w:lineRule="auto"/>
                    <w:rPr>
                      <w:rFonts w:eastAsia="Times New Roman" w:cstheme="minorHAnsi"/>
                      <w:color w:val="auto"/>
                      <w:sz w:val="20"/>
                      <w:szCs w:val="20"/>
                      <w:lang w:eastAsia="en-GB"/>
                    </w:rPr>
                  </w:pPr>
                  <w:r w:rsidRPr="001855C7">
                    <w:rPr>
                      <w:rFonts w:eastAsia="Times New Roman" w:cstheme="minorHAnsi"/>
                      <w:color w:val="auto"/>
                      <w:sz w:val="20"/>
                      <w:szCs w:val="20"/>
                      <w:lang w:eastAsia="en-GB"/>
                    </w:rPr>
                    <w:t> </w:t>
                  </w:r>
                </w:p>
              </w:tc>
              <w:tc>
                <w:tcPr>
                  <w:tcW w:w="1460" w:type="dxa"/>
                  <w:tcBorders>
                    <w:top w:val="single" w:sz="8" w:space="0" w:color="auto"/>
                    <w:left w:val="nil"/>
                    <w:bottom w:val="single" w:sz="4" w:space="0" w:color="auto"/>
                    <w:right w:val="single" w:sz="8" w:space="0" w:color="auto"/>
                  </w:tcBorders>
                  <w:shd w:val="clear" w:color="auto" w:fill="auto"/>
                  <w:noWrap/>
                  <w:vAlign w:val="center"/>
                  <w:hideMark/>
                </w:tcPr>
                <w:p w14:paraId="2995F493" w14:textId="77777777" w:rsidR="002668F9" w:rsidRPr="001855C7" w:rsidRDefault="002668F9" w:rsidP="002668F9">
                  <w:pPr>
                    <w:spacing w:line="240" w:lineRule="auto"/>
                    <w:jc w:val="center"/>
                    <w:rPr>
                      <w:rFonts w:eastAsia="Times New Roman" w:cstheme="minorHAnsi"/>
                      <w:color w:val="auto"/>
                      <w:sz w:val="20"/>
                      <w:szCs w:val="20"/>
                      <w:lang w:eastAsia="en-GB"/>
                    </w:rPr>
                  </w:pPr>
                  <w:r w:rsidRPr="001855C7">
                    <w:rPr>
                      <w:rFonts w:eastAsia="Times New Roman" w:cstheme="minorHAnsi"/>
                      <w:color w:val="auto"/>
                      <w:sz w:val="20"/>
                      <w:szCs w:val="20"/>
                      <w:lang w:eastAsia="en-GB"/>
                    </w:rPr>
                    <w:t>% contribution</w:t>
                  </w:r>
                </w:p>
              </w:tc>
              <w:tc>
                <w:tcPr>
                  <w:tcW w:w="1560" w:type="dxa"/>
                  <w:tcBorders>
                    <w:top w:val="single" w:sz="8" w:space="0" w:color="auto"/>
                    <w:left w:val="nil"/>
                    <w:bottom w:val="single" w:sz="4" w:space="0" w:color="auto"/>
                    <w:right w:val="single" w:sz="4" w:space="0" w:color="auto"/>
                  </w:tcBorders>
                  <w:shd w:val="clear" w:color="000000" w:fill="E7E6E6"/>
                  <w:noWrap/>
                  <w:vAlign w:val="bottom"/>
                  <w:hideMark/>
                </w:tcPr>
                <w:p w14:paraId="78D4865D" w14:textId="77777777" w:rsidR="002668F9" w:rsidRPr="00E52F9E" w:rsidRDefault="002668F9" w:rsidP="002668F9">
                  <w:pPr>
                    <w:spacing w:line="240" w:lineRule="auto"/>
                    <w:rPr>
                      <w:rFonts w:eastAsia="Times New Roman" w:cstheme="minorHAnsi"/>
                      <w:color w:val="000000"/>
                      <w:sz w:val="20"/>
                      <w:szCs w:val="20"/>
                      <w:lang w:eastAsia="en-GB"/>
                    </w:rPr>
                  </w:pPr>
                  <w:r w:rsidRPr="00E52F9E">
                    <w:rPr>
                      <w:rFonts w:eastAsia="Times New Roman" w:cstheme="minorHAnsi"/>
                      <w:color w:val="000000"/>
                      <w:sz w:val="20"/>
                      <w:szCs w:val="20"/>
                      <w:lang w:eastAsia="en-GB"/>
                    </w:rPr>
                    <w:t>Overall split</w:t>
                  </w:r>
                </w:p>
              </w:tc>
              <w:tc>
                <w:tcPr>
                  <w:tcW w:w="1360" w:type="dxa"/>
                  <w:tcBorders>
                    <w:top w:val="single" w:sz="8" w:space="0" w:color="auto"/>
                    <w:left w:val="nil"/>
                    <w:bottom w:val="single" w:sz="4" w:space="0" w:color="auto"/>
                    <w:right w:val="single" w:sz="4" w:space="0" w:color="auto"/>
                  </w:tcBorders>
                  <w:shd w:val="clear" w:color="auto" w:fill="auto"/>
                  <w:noWrap/>
                  <w:vAlign w:val="bottom"/>
                  <w:hideMark/>
                </w:tcPr>
                <w:p w14:paraId="0C338B42" w14:textId="77777777" w:rsidR="002668F9" w:rsidRPr="00E52F9E" w:rsidRDefault="002668F9" w:rsidP="002668F9">
                  <w:pPr>
                    <w:spacing w:line="240" w:lineRule="auto"/>
                    <w:rPr>
                      <w:rFonts w:eastAsia="Times New Roman" w:cstheme="minorHAnsi"/>
                      <w:color w:val="000000"/>
                      <w:sz w:val="20"/>
                      <w:szCs w:val="20"/>
                      <w:lang w:eastAsia="en-GB"/>
                    </w:rPr>
                  </w:pPr>
                  <w:proofErr w:type="spellStart"/>
                  <w:r w:rsidRPr="00E52F9E">
                    <w:rPr>
                      <w:rFonts w:eastAsia="Times New Roman" w:cstheme="minorHAnsi"/>
                      <w:color w:val="000000"/>
                      <w:sz w:val="20"/>
                      <w:szCs w:val="20"/>
                      <w:lang w:eastAsia="en-GB"/>
                    </w:rPr>
                    <w:t>Yr</w:t>
                  </w:r>
                  <w:proofErr w:type="spellEnd"/>
                  <w:r w:rsidRPr="00E52F9E">
                    <w:rPr>
                      <w:rFonts w:eastAsia="Times New Roman" w:cstheme="minorHAnsi"/>
                      <w:color w:val="000000"/>
                      <w:sz w:val="20"/>
                      <w:szCs w:val="20"/>
                      <w:lang w:eastAsia="en-GB"/>
                    </w:rPr>
                    <w:t xml:space="preserve"> 1 Split</w:t>
                  </w:r>
                </w:p>
              </w:tc>
              <w:tc>
                <w:tcPr>
                  <w:tcW w:w="1380" w:type="dxa"/>
                  <w:tcBorders>
                    <w:top w:val="single" w:sz="8" w:space="0" w:color="auto"/>
                    <w:left w:val="nil"/>
                    <w:bottom w:val="single" w:sz="4" w:space="0" w:color="auto"/>
                    <w:right w:val="single" w:sz="4" w:space="0" w:color="auto"/>
                  </w:tcBorders>
                  <w:shd w:val="clear" w:color="000000" w:fill="E7E6E6"/>
                  <w:noWrap/>
                  <w:vAlign w:val="bottom"/>
                  <w:hideMark/>
                </w:tcPr>
                <w:p w14:paraId="307224FD" w14:textId="77777777" w:rsidR="002668F9" w:rsidRPr="00E52F9E" w:rsidRDefault="002668F9" w:rsidP="002668F9">
                  <w:pPr>
                    <w:spacing w:line="240" w:lineRule="auto"/>
                    <w:rPr>
                      <w:rFonts w:eastAsia="Times New Roman" w:cstheme="minorHAnsi"/>
                      <w:color w:val="000000"/>
                      <w:sz w:val="20"/>
                      <w:szCs w:val="20"/>
                      <w:lang w:eastAsia="en-GB"/>
                    </w:rPr>
                  </w:pPr>
                  <w:proofErr w:type="spellStart"/>
                  <w:r w:rsidRPr="00E52F9E">
                    <w:rPr>
                      <w:rFonts w:eastAsia="Times New Roman" w:cstheme="minorHAnsi"/>
                      <w:color w:val="000000"/>
                      <w:sz w:val="20"/>
                      <w:szCs w:val="20"/>
                      <w:lang w:eastAsia="en-GB"/>
                    </w:rPr>
                    <w:t>Yr</w:t>
                  </w:r>
                  <w:proofErr w:type="spellEnd"/>
                  <w:r w:rsidRPr="00E52F9E">
                    <w:rPr>
                      <w:rFonts w:eastAsia="Times New Roman" w:cstheme="minorHAnsi"/>
                      <w:color w:val="000000"/>
                      <w:sz w:val="20"/>
                      <w:szCs w:val="20"/>
                      <w:lang w:eastAsia="en-GB"/>
                    </w:rPr>
                    <w:t xml:space="preserve"> 2 Split</w:t>
                  </w:r>
                </w:p>
              </w:tc>
            </w:tr>
            <w:tr w:rsidR="002668F9" w:rsidRPr="00E52F9E" w14:paraId="381AF302" w14:textId="77777777" w:rsidTr="002668F9">
              <w:trPr>
                <w:trHeight w:val="285"/>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2FE410BE" w14:textId="77777777" w:rsidR="002668F9" w:rsidRPr="001855C7" w:rsidRDefault="002668F9" w:rsidP="002668F9">
                  <w:pPr>
                    <w:spacing w:line="240" w:lineRule="auto"/>
                    <w:rPr>
                      <w:rFonts w:eastAsia="Times New Roman" w:cstheme="minorHAnsi"/>
                      <w:color w:val="auto"/>
                      <w:sz w:val="20"/>
                      <w:szCs w:val="20"/>
                      <w:lang w:eastAsia="en-GB"/>
                    </w:rPr>
                  </w:pPr>
                  <w:r w:rsidRPr="001855C7">
                    <w:rPr>
                      <w:rFonts w:eastAsia="Times New Roman" w:cstheme="minorHAnsi"/>
                      <w:color w:val="auto"/>
                      <w:sz w:val="20"/>
                      <w:szCs w:val="20"/>
                      <w:lang w:eastAsia="en-GB"/>
                    </w:rPr>
                    <w:t>Cadent</w:t>
                  </w:r>
                </w:p>
              </w:tc>
              <w:tc>
                <w:tcPr>
                  <w:tcW w:w="1460" w:type="dxa"/>
                  <w:tcBorders>
                    <w:top w:val="nil"/>
                    <w:left w:val="nil"/>
                    <w:bottom w:val="single" w:sz="4" w:space="0" w:color="auto"/>
                    <w:right w:val="single" w:sz="8" w:space="0" w:color="auto"/>
                  </w:tcBorders>
                  <w:shd w:val="clear" w:color="auto" w:fill="auto"/>
                  <w:noWrap/>
                  <w:vAlign w:val="center"/>
                  <w:hideMark/>
                </w:tcPr>
                <w:p w14:paraId="5B631333" w14:textId="77777777" w:rsidR="002668F9" w:rsidRPr="001855C7" w:rsidRDefault="002668F9" w:rsidP="002668F9">
                  <w:pPr>
                    <w:spacing w:line="240" w:lineRule="auto"/>
                    <w:jc w:val="right"/>
                    <w:rPr>
                      <w:rFonts w:eastAsia="Times New Roman" w:cstheme="minorHAnsi"/>
                      <w:color w:val="auto"/>
                      <w:sz w:val="20"/>
                      <w:szCs w:val="20"/>
                      <w:lang w:eastAsia="en-GB"/>
                    </w:rPr>
                  </w:pPr>
                  <w:r w:rsidRPr="001855C7">
                    <w:rPr>
                      <w:rFonts w:eastAsia="Times New Roman" w:cstheme="minorHAnsi"/>
                      <w:color w:val="auto"/>
                      <w:sz w:val="20"/>
                      <w:szCs w:val="20"/>
                      <w:lang w:eastAsia="en-GB"/>
                    </w:rPr>
                    <w:t>49.8060%</w:t>
                  </w:r>
                </w:p>
              </w:tc>
              <w:tc>
                <w:tcPr>
                  <w:tcW w:w="1560" w:type="dxa"/>
                  <w:tcBorders>
                    <w:top w:val="nil"/>
                    <w:left w:val="nil"/>
                    <w:bottom w:val="single" w:sz="4" w:space="0" w:color="auto"/>
                    <w:right w:val="single" w:sz="4" w:space="0" w:color="auto"/>
                  </w:tcBorders>
                  <w:shd w:val="clear" w:color="000000" w:fill="E7E6E6"/>
                  <w:noWrap/>
                  <w:vAlign w:val="bottom"/>
                  <w:hideMark/>
                </w:tcPr>
                <w:p w14:paraId="02E484FD" w14:textId="77777777" w:rsidR="002668F9" w:rsidRPr="00E52F9E" w:rsidRDefault="002668F9" w:rsidP="002668F9">
                  <w:pPr>
                    <w:spacing w:line="240" w:lineRule="auto"/>
                    <w:jc w:val="right"/>
                    <w:rPr>
                      <w:rFonts w:eastAsia="Times New Roman" w:cstheme="minorHAnsi"/>
                      <w:color w:val="000000"/>
                      <w:sz w:val="20"/>
                      <w:szCs w:val="20"/>
                      <w:lang w:eastAsia="en-GB"/>
                    </w:rPr>
                  </w:pPr>
                  <w:r w:rsidRPr="00E52F9E">
                    <w:rPr>
                      <w:rFonts w:eastAsia="Times New Roman" w:cstheme="minorHAnsi"/>
                      <w:color w:val="000000"/>
                      <w:sz w:val="20"/>
                      <w:szCs w:val="20"/>
                      <w:lang w:eastAsia="en-GB"/>
                    </w:rPr>
                    <w:t>£370,522.72</w:t>
                  </w:r>
                </w:p>
              </w:tc>
              <w:tc>
                <w:tcPr>
                  <w:tcW w:w="1360" w:type="dxa"/>
                  <w:tcBorders>
                    <w:top w:val="nil"/>
                    <w:left w:val="nil"/>
                    <w:bottom w:val="single" w:sz="4" w:space="0" w:color="auto"/>
                    <w:right w:val="single" w:sz="4" w:space="0" w:color="auto"/>
                  </w:tcBorders>
                  <w:shd w:val="clear" w:color="auto" w:fill="auto"/>
                  <w:noWrap/>
                  <w:vAlign w:val="bottom"/>
                  <w:hideMark/>
                </w:tcPr>
                <w:p w14:paraId="13CEA23F" w14:textId="77777777" w:rsidR="002668F9" w:rsidRPr="00E52F9E" w:rsidRDefault="002668F9" w:rsidP="002668F9">
                  <w:pPr>
                    <w:spacing w:line="240" w:lineRule="auto"/>
                    <w:jc w:val="right"/>
                    <w:rPr>
                      <w:rFonts w:eastAsia="Times New Roman" w:cstheme="minorHAnsi"/>
                      <w:color w:val="000000"/>
                      <w:sz w:val="20"/>
                      <w:szCs w:val="20"/>
                      <w:lang w:eastAsia="en-GB"/>
                    </w:rPr>
                  </w:pPr>
                  <w:r w:rsidRPr="00E52F9E">
                    <w:rPr>
                      <w:rFonts w:eastAsia="Times New Roman" w:cstheme="minorHAnsi"/>
                      <w:color w:val="000000"/>
                      <w:sz w:val="20"/>
                      <w:szCs w:val="20"/>
                      <w:lang w:eastAsia="en-GB"/>
                    </w:rPr>
                    <w:t>£102,436.48</w:t>
                  </w:r>
                </w:p>
              </w:tc>
              <w:tc>
                <w:tcPr>
                  <w:tcW w:w="1380" w:type="dxa"/>
                  <w:tcBorders>
                    <w:top w:val="nil"/>
                    <w:left w:val="nil"/>
                    <w:bottom w:val="single" w:sz="4" w:space="0" w:color="auto"/>
                    <w:right w:val="single" w:sz="4" w:space="0" w:color="auto"/>
                  </w:tcBorders>
                  <w:shd w:val="clear" w:color="000000" w:fill="E7E6E6"/>
                  <w:noWrap/>
                  <w:vAlign w:val="bottom"/>
                  <w:hideMark/>
                </w:tcPr>
                <w:p w14:paraId="7933178A" w14:textId="77777777" w:rsidR="002668F9" w:rsidRPr="00E52F9E" w:rsidRDefault="002668F9" w:rsidP="002668F9">
                  <w:pPr>
                    <w:spacing w:line="240" w:lineRule="auto"/>
                    <w:jc w:val="right"/>
                    <w:rPr>
                      <w:rFonts w:eastAsia="Times New Roman" w:cstheme="minorHAnsi"/>
                      <w:color w:val="000000"/>
                      <w:sz w:val="20"/>
                      <w:szCs w:val="20"/>
                      <w:lang w:eastAsia="en-GB"/>
                    </w:rPr>
                  </w:pPr>
                  <w:r w:rsidRPr="00E52F9E">
                    <w:rPr>
                      <w:rFonts w:eastAsia="Times New Roman" w:cstheme="minorHAnsi"/>
                      <w:color w:val="000000"/>
                      <w:sz w:val="20"/>
                      <w:szCs w:val="20"/>
                      <w:lang w:eastAsia="en-GB"/>
                    </w:rPr>
                    <w:t>£268,086.23</w:t>
                  </w:r>
                </w:p>
              </w:tc>
            </w:tr>
            <w:tr w:rsidR="002668F9" w:rsidRPr="00E52F9E" w14:paraId="01F96687" w14:textId="77777777" w:rsidTr="002668F9">
              <w:trPr>
                <w:trHeight w:val="285"/>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7CE96086" w14:textId="77777777" w:rsidR="002668F9" w:rsidRPr="001855C7" w:rsidRDefault="002668F9" w:rsidP="002668F9">
                  <w:pPr>
                    <w:spacing w:line="240" w:lineRule="auto"/>
                    <w:rPr>
                      <w:rFonts w:eastAsia="Times New Roman" w:cstheme="minorHAnsi"/>
                      <w:color w:val="auto"/>
                      <w:sz w:val="20"/>
                      <w:szCs w:val="20"/>
                      <w:lang w:eastAsia="en-GB"/>
                    </w:rPr>
                  </w:pPr>
                  <w:r w:rsidRPr="001855C7">
                    <w:rPr>
                      <w:rFonts w:eastAsia="Times New Roman" w:cstheme="minorHAnsi"/>
                      <w:color w:val="auto"/>
                      <w:sz w:val="20"/>
                      <w:szCs w:val="20"/>
                      <w:lang w:eastAsia="en-GB"/>
                    </w:rPr>
                    <w:t>NGN</w:t>
                  </w:r>
                </w:p>
              </w:tc>
              <w:tc>
                <w:tcPr>
                  <w:tcW w:w="1460" w:type="dxa"/>
                  <w:tcBorders>
                    <w:top w:val="nil"/>
                    <w:left w:val="nil"/>
                    <w:bottom w:val="single" w:sz="4" w:space="0" w:color="auto"/>
                    <w:right w:val="single" w:sz="8" w:space="0" w:color="auto"/>
                  </w:tcBorders>
                  <w:shd w:val="clear" w:color="auto" w:fill="auto"/>
                  <w:noWrap/>
                  <w:vAlign w:val="center"/>
                  <w:hideMark/>
                </w:tcPr>
                <w:p w14:paraId="2028FBDA" w14:textId="77777777" w:rsidR="002668F9" w:rsidRPr="001855C7" w:rsidRDefault="002668F9" w:rsidP="002668F9">
                  <w:pPr>
                    <w:spacing w:line="240" w:lineRule="auto"/>
                    <w:jc w:val="right"/>
                    <w:rPr>
                      <w:rFonts w:eastAsia="Times New Roman" w:cstheme="minorHAnsi"/>
                      <w:color w:val="auto"/>
                      <w:sz w:val="20"/>
                      <w:szCs w:val="20"/>
                      <w:lang w:eastAsia="en-GB"/>
                    </w:rPr>
                  </w:pPr>
                  <w:r w:rsidRPr="001855C7">
                    <w:rPr>
                      <w:rFonts w:eastAsia="Times New Roman" w:cstheme="minorHAnsi"/>
                      <w:color w:val="auto"/>
                      <w:sz w:val="20"/>
                      <w:szCs w:val="20"/>
                      <w:lang w:eastAsia="en-GB"/>
                    </w:rPr>
                    <w:t>11.5565%</w:t>
                  </w:r>
                </w:p>
              </w:tc>
              <w:tc>
                <w:tcPr>
                  <w:tcW w:w="1560" w:type="dxa"/>
                  <w:tcBorders>
                    <w:top w:val="nil"/>
                    <w:left w:val="nil"/>
                    <w:bottom w:val="single" w:sz="4" w:space="0" w:color="auto"/>
                    <w:right w:val="single" w:sz="4" w:space="0" w:color="auto"/>
                  </w:tcBorders>
                  <w:shd w:val="clear" w:color="000000" w:fill="E7E6E6"/>
                  <w:noWrap/>
                  <w:vAlign w:val="bottom"/>
                  <w:hideMark/>
                </w:tcPr>
                <w:p w14:paraId="5F52A7BF" w14:textId="77777777" w:rsidR="002668F9" w:rsidRPr="00E52F9E" w:rsidRDefault="002668F9" w:rsidP="002668F9">
                  <w:pPr>
                    <w:spacing w:line="240" w:lineRule="auto"/>
                    <w:jc w:val="right"/>
                    <w:rPr>
                      <w:rFonts w:eastAsia="Times New Roman" w:cstheme="minorHAnsi"/>
                      <w:color w:val="000000"/>
                      <w:sz w:val="20"/>
                      <w:szCs w:val="20"/>
                      <w:lang w:eastAsia="en-GB"/>
                    </w:rPr>
                  </w:pPr>
                  <w:r w:rsidRPr="00E52F9E">
                    <w:rPr>
                      <w:rFonts w:eastAsia="Times New Roman" w:cstheme="minorHAnsi"/>
                      <w:color w:val="000000"/>
                      <w:sz w:val="20"/>
                      <w:szCs w:val="20"/>
                      <w:lang w:eastAsia="en-GB"/>
                    </w:rPr>
                    <w:t>£85,972.82</w:t>
                  </w:r>
                </w:p>
              </w:tc>
              <w:tc>
                <w:tcPr>
                  <w:tcW w:w="1360" w:type="dxa"/>
                  <w:tcBorders>
                    <w:top w:val="nil"/>
                    <w:left w:val="nil"/>
                    <w:bottom w:val="single" w:sz="4" w:space="0" w:color="auto"/>
                    <w:right w:val="single" w:sz="4" w:space="0" w:color="auto"/>
                  </w:tcBorders>
                  <w:shd w:val="clear" w:color="auto" w:fill="auto"/>
                  <w:noWrap/>
                  <w:vAlign w:val="bottom"/>
                  <w:hideMark/>
                </w:tcPr>
                <w:p w14:paraId="00FA2428" w14:textId="77777777" w:rsidR="002668F9" w:rsidRPr="00E52F9E" w:rsidRDefault="002668F9" w:rsidP="002668F9">
                  <w:pPr>
                    <w:spacing w:line="240" w:lineRule="auto"/>
                    <w:jc w:val="right"/>
                    <w:rPr>
                      <w:rFonts w:eastAsia="Times New Roman" w:cstheme="minorHAnsi"/>
                      <w:color w:val="000000"/>
                      <w:sz w:val="20"/>
                      <w:szCs w:val="20"/>
                      <w:lang w:eastAsia="en-GB"/>
                    </w:rPr>
                  </w:pPr>
                  <w:r w:rsidRPr="00E52F9E">
                    <w:rPr>
                      <w:rFonts w:eastAsia="Times New Roman" w:cstheme="minorHAnsi"/>
                      <w:color w:val="000000"/>
                      <w:sz w:val="20"/>
                      <w:szCs w:val="20"/>
                      <w:lang w:eastAsia="en-GB"/>
                    </w:rPr>
                    <w:t>£23,768.46</w:t>
                  </w:r>
                </w:p>
              </w:tc>
              <w:tc>
                <w:tcPr>
                  <w:tcW w:w="1380" w:type="dxa"/>
                  <w:tcBorders>
                    <w:top w:val="nil"/>
                    <w:left w:val="nil"/>
                    <w:bottom w:val="single" w:sz="4" w:space="0" w:color="auto"/>
                    <w:right w:val="single" w:sz="4" w:space="0" w:color="auto"/>
                  </w:tcBorders>
                  <w:shd w:val="clear" w:color="000000" w:fill="E7E6E6"/>
                  <w:noWrap/>
                  <w:vAlign w:val="bottom"/>
                  <w:hideMark/>
                </w:tcPr>
                <w:p w14:paraId="1749B6E0" w14:textId="77777777" w:rsidR="002668F9" w:rsidRPr="00E52F9E" w:rsidRDefault="002668F9" w:rsidP="002668F9">
                  <w:pPr>
                    <w:spacing w:line="240" w:lineRule="auto"/>
                    <w:jc w:val="right"/>
                    <w:rPr>
                      <w:rFonts w:eastAsia="Times New Roman" w:cstheme="minorHAnsi"/>
                      <w:color w:val="000000"/>
                      <w:sz w:val="20"/>
                      <w:szCs w:val="20"/>
                      <w:lang w:eastAsia="en-GB"/>
                    </w:rPr>
                  </w:pPr>
                  <w:r w:rsidRPr="00E52F9E">
                    <w:rPr>
                      <w:rFonts w:eastAsia="Times New Roman" w:cstheme="minorHAnsi"/>
                      <w:color w:val="000000"/>
                      <w:sz w:val="20"/>
                      <w:szCs w:val="20"/>
                      <w:lang w:eastAsia="en-GB"/>
                    </w:rPr>
                    <w:t>£62,204.36</w:t>
                  </w:r>
                </w:p>
              </w:tc>
            </w:tr>
            <w:tr w:rsidR="002668F9" w:rsidRPr="00E52F9E" w14:paraId="3BE8BB64" w14:textId="77777777" w:rsidTr="002668F9">
              <w:trPr>
                <w:trHeight w:val="285"/>
              </w:trPr>
              <w:tc>
                <w:tcPr>
                  <w:tcW w:w="1320" w:type="dxa"/>
                  <w:tcBorders>
                    <w:top w:val="nil"/>
                    <w:left w:val="single" w:sz="8" w:space="0" w:color="auto"/>
                    <w:bottom w:val="single" w:sz="4" w:space="0" w:color="auto"/>
                    <w:right w:val="single" w:sz="4" w:space="0" w:color="auto"/>
                  </w:tcBorders>
                  <w:shd w:val="clear" w:color="auto" w:fill="auto"/>
                  <w:noWrap/>
                  <w:vAlign w:val="center"/>
                  <w:hideMark/>
                </w:tcPr>
                <w:p w14:paraId="57DEFC08" w14:textId="77777777" w:rsidR="002668F9" w:rsidRPr="001855C7" w:rsidRDefault="002668F9" w:rsidP="002668F9">
                  <w:pPr>
                    <w:spacing w:line="240" w:lineRule="auto"/>
                    <w:rPr>
                      <w:rFonts w:eastAsia="Times New Roman" w:cstheme="minorHAnsi"/>
                      <w:color w:val="auto"/>
                      <w:sz w:val="20"/>
                      <w:szCs w:val="20"/>
                      <w:lang w:eastAsia="en-GB"/>
                    </w:rPr>
                  </w:pPr>
                  <w:r w:rsidRPr="001855C7">
                    <w:rPr>
                      <w:rFonts w:eastAsia="Times New Roman" w:cstheme="minorHAnsi"/>
                      <w:color w:val="auto"/>
                      <w:sz w:val="20"/>
                      <w:szCs w:val="20"/>
                      <w:lang w:eastAsia="en-GB"/>
                    </w:rPr>
                    <w:t>SGN</w:t>
                  </w:r>
                </w:p>
              </w:tc>
              <w:tc>
                <w:tcPr>
                  <w:tcW w:w="1460" w:type="dxa"/>
                  <w:tcBorders>
                    <w:top w:val="nil"/>
                    <w:left w:val="nil"/>
                    <w:bottom w:val="single" w:sz="4" w:space="0" w:color="auto"/>
                    <w:right w:val="single" w:sz="8" w:space="0" w:color="auto"/>
                  </w:tcBorders>
                  <w:shd w:val="clear" w:color="auto" w:fill="auto"/>
                  <w:noWrap/>
                  <w:vAlign w:val="center"/>
                  <w:hideMark/>
                </w:tcPr>
                <w:p w14:paraId="20779CD5" w14:textId="77777777" w:rsidR="002668F9" w:rsidRPr="001855C7" w:rsidRDefault="002668F9" w:rsidP="002668F9">
                  <w:pPr>
                    <w:spacing w:line="240" w:lineRule="auto"/>
                    <w:jc w:val="right"/>
                    <w:rPr>
                      <w:rFonts w:eastAsia="Times New Roman" w:cstheme="minorHAnsi"/>
                      <w:color w:val="auto"/>
                      <w:sz w:val="20"/>
                      <w:szCs w:val="20"/>
                      <w:lang w:eastAsia="en-GB"/>
                    </w:rPr>
                  </w:pPr>
                  <w:r w:rsidRPr="001855C7">
                    <w:rPr>
                      <w:rFonts w:eastAsia="Times New Roman" w:cstheme="minorHAnsi"/>
                      <w:color w:val="auto"/>
                      <w:sz w:val="20"/>
                      <w:szCs w:val="20"/>
                      <w:lang w:eastAsia="en-GB"/>
                    </w:rPr>
                    <w:t>27.0711%</w:t>
                  </w:r>
                </w:p>
              </w:tc>
              <w:tc>
                <w:tcPr>
                  <w:tcW w:w="1560" w:type="dxa"/>
                  <w:tcBorders>
                    <w:top w:val="nil"/>
                    <w:left w:val="nil"/>
                    <w:bottom w:val="single" w:sz="4" w:space="0" w:color="auto"/>
                    <w:right w:val="single" w:sz="4" w:space="0" w:color="auto"/>
                  </w:tcBorders>
                  <w:shd w:val="clear" w:color="000000" w:fill="E7E6E6"/>
                  <w:noWrap/>
                  <w:vAlign w:val="bottom"/>
                  <w:hideMark/>
                </w:tcPr>
                <w:p w14:paraId="27C868FA" w14:textId="77777777" w:rsidR="002668F9" w:rsidRPr="00E52F9E" w:rsidRDefault="002668F9" w:rsidP="002668F9">
                  <w:pPr>
                    <w:spacing w:line="240" w:lineRule="auto"/>
                    <w:jc w:val="right"/>
                    <w:rPr>
                      <w:rFonts w:eastAsia="Times New Roman" w:cstheme="minorHAnsi"/>
                      <w:color w:val="000000"/>
                      <w:sz w:val="20"/>
                      <w:szCs w:val="20"/>
                      <w:lang w:eastAsia="en-GB"/>
                    </w:rPr>
                  </w:pPr>
                  <w:r w:rsidRPr="00E52F9E">
                    <w:rPr>
                      <w:rFonts w:eastAsia="Times New Roman" w:cstheme="minorHAnsi"/>
                      <w:color w:val="000000"/>
                      <w:sz w:val="20"/>
                      <w:szCs w:val="20"/>
                      <w:lang w:eastAsia="en-GB"/>
                    </w:rPr>
                    <w:t>£201,390.24</w:t>
                  </w:r>
                </w:p>
              </w:tc>
              <w:tc>
                <w:tcPr>
                  <w:tcW w:w="1360" w:type="dxa"/>
                  <w:tcBorders>
                    <w:top w:val="nil"/>
                    <w:left w:val="nil"/>
                    <w:bottom w:val="single" w:sz="4" w:space="0" w:color="auto"/>
                    <w:right w:val="single" w:sz="4" w:space="0" w:color="auto"/>
                  </w:tcBorders>
                  <w:shd w:val="clear" w:color="auto" w:fill="auto"/>
                  <w:noWrap/>
                  <w:vAlign w:val="bottom"/>
                  <w:hideMark/>
                </w:tcPr>
                <w:p w14:paraId="4E70113E" w14:textId="77777777" w:rsidR="002668F9" w:rsidRPr="00E52F9E" w:rsidRDefault="002668F9" w:rsidP="002668F9">
                  <w:pPr>
                    <w:spacing w:line="240" w:lineRule="auto"/>
                    <w:jc w:val="right"/>
                    <w:rPr>
                      <w:rFonts w:eastAsia="Times New Roman" w:cstheme="minorHAnsi"/>
                      <w:color w:val="000000"/>
                      <w:sz w:val="20"/>
                      <w:szCs w:val="20"/>
                      <w:lang w:eastAsia="en-GB"/>
                    </w:rPr>
                  </w:pPr>
                  <w:r w:rsidRPr="00E52F9E">
                    <w:rPr>
                      <w:rFonts w:eastAsia="Times New Roman" w:cstheme="minorHAnsi"/>
                      <w:color w:val="000000"/>
                      <w:sz w:val="20"/>
                      <w:szCs w:val="20"/>
                      <w:lang w:eastAsia="en-GB"/>
                    </w:rPr>
                    <w:t>£55,677.31</w:t>
                  </w:r>
                </w:p>
              </w:tc>
              <w:tc>
                <w:tcPr>
                  <w:tcW w:w="1380" w:type="dxa"/>
                  <w:tcBorders>
                    <w:top w:val="nil"/>
                    <w:left w:val="nil"/>
                    <w:bottom w:val="single" w:sz="4" w:space="0" w:color="auto"/>
                    <w:right w:val="single" w:sz="4" w:space="0" w:color="auto"/>
                  </w:tcBorders>
                  <w:shd w:val="clear" w:color="000000" w:fill="E7E6E6"/>
                  <w:noWrap/>
                  <w:vAlign w:val="bottom"/>
                  <w:hideMark/>
                </w:tcPr>
                <w:p w14:paraId="3C5249DF" w14:textId="77777777" w:rsidR="002668F9" w:rsidRPr="00E52F9E" w:rsidRDefault="002668F9" w:rsidP="002668F9">
                  <w:pPr>
                    <w:spacing w:line="240" w:lineRule="auto"/>
                    <w:jc w:val="right"/>
                    <w:rPr>
                      <w:rFonts w:eastAsia="Times New Roman" w:cstheme="minorHAnsi"/>
                      <w:color w:val="000000"/>
                      <w:sz w:val="20"/>
                      <w:szCs w:val="20"/>
                      <w:lang w:eastAsia="en-GB"/>
                    </w:rPr>
                  </w:pPr>
                  <w:r w:rsidRPr="00E52F9E">
                    <w:rPr>
                      <w:rFonts w:eastAsia="Times New Roman" w:cstheme="minorHAnsi"/>
                      <w:color w:val="000000"/>
                      <w:sz w:val="20"/>
                      <w:szCs w:val="20"/>
                      <w:lang w:eastAsia="en-GB"/>
                    </w:rPr>
                    <w:t>£145,712.93</w:t>
                  </w:r>
                </w:p>
              </w:tc>
            </w:tr>
            <w:tr w:rsidR="002668F9" w:rsidRPr="00E52F9E" w14:paraId="63764A7C" w14:textId="77777777" w:rsidTr="002668F9">
              <w:trPr>
                <w:trHeight w:val="293"/>
              </w:trPr>
              <w:tc>
                <w:tcPr>
                  <w:tcW w:w="1320" w:type="dxa"/>
                  <w:tcBorders>
                    <w:top w:val="nil"/>
                    <w:left w:val="single" w:sz="8" w:space="0" w:color="auto"/>
                    <w:bottom w:val="single" w:sz="8" w:space="0" w:color="auto"/>
                    <w:right w:val="single" w:sz="4" w:space="0" w:color="auto"/>
                  </w:tcBorders>
                  <w:shd w:val="clear" w:color="auto" w:fill="auto"/>
                  <w:noWrap/>
                  <w:vAlign w:val="center"/>
                  <w:hideMark/>
                </w:tcPr>
                <w:p w14:paraId="6A69BAD3" w14:textId="77777777" w:rsidR="002668F9" w:rsidRPr="001855C7" w:rsidRDefault="002668F9" w:rsidP="002668F9">
                  <w:pPr>
                    <w:spacing w:line="240" w:lineRule="auto"/>
                    <w:rPr>
                      <w:rFonts w:eastAsia="Times New Roman" w:cstheme="minorHAnsi"/>
                      <w:color w:val="auto"/>
                      <w:sz w:val="20"/>
                      <w:szCs w:val="20"/>
                      <w:lang w:eastAsia="en-GB"/>
                    </w:rPr>
                  </w:pPr>
                  <w:r w:rsidRPr="001855C7">
                    <w:rPr>
                      <w:rFonts w:eastAsia="Times New Roman" w:cstheme="minorHAnsi"/>
                      <w:color w:val="auto"/>
                      <w:sz w:val="20"/>
                      <w:szCs w:val="20"/>
                      <w:lang w:eastAsia="en-GB"/>
                    </w:rPr>
                    <w:t>WWU</w:t>
                  </w:r>
                </w:p>
              </w:tc>
              <w:tc>
                <w:tcPr>
                  <w:tcW w:w="1460" w:type="dxa"/>
                  <w:tcBorders>
                    <w:top w:val="nil"/>
                    <w:left w:val="nil"/>
                    <w:bottom w:val="single" w:sz="8" w:space="0" w:color="auto"/>
                    <w:right w:val="single" w:sz="8" w:space="0" w:color="auto"/>
                  </w:tcBorders>
                  <w:shd w:val="clear" w:color="auto" w:fill="auto"/>
                  <w:noWrap/>
                  <w:vAlign w:val="center"/>
                  <w:hideMark/>
                </w:tcPr>
                <w:p w14:paraId="75312623" w14:textId="77777777" w:rsidR="002668F9" w:rsidRPr="001855C7" w:rsidRDefault="002668F9" w:rsidP="002668F9">
                  <w:pPr>
                    <w:spacing w:line="240" w:lineRule="auto"/>
                    <w:jc w:val="right"/>
                    <w:rPr>
                      <w:rFonts w:eastAsia="Times New Roman" w:cstheme="minorHAnsi"/>
                      <w:color w:val="auto"/>
                      <w:sz w:val="20"/>
                      <w:szCs w:val="20"/>
                      <w:lang w:eastAsia="en-GB"/>
                    </w:rPr>
                  </w:pPr>
                  <w:r w:rsidRPr="001855C7">
                    <w:rPr>
                      <w:rFonts w:eastAsia="Times New Roman" w:cstheme="minorHAnsi"/>
                      <w:color w:val="auto"/>
                      <w:sz w:val="20"/>
                      <w:szCs w:val="20"/>
                      <w:lang w:eastAsia="en-GB"/>
                    </w:rPr>
                    <w:t>11.5664%</w:t>
                  </w:r>
                </w:p>
              </w:tc>
              <w:tc>
                <w:tcPr>
                  <w:tcW w:w="1560" w:type="dxa"/>
                  <w:tcBorders>
                    <w:top w:val="nil"/>
                    <w:left w:val="nil"/>
                    <w:bottom w:val="single" w:sz="8" w:space="0" w:color="auto"/>
                    <w:right w:val="single" w:sz="4" w:space="0" w:color="auto"/>
                  </w:tcBorders>
                  <w:shd w:val="clear" w:color="000000" w:fill="E7E6E6"/>
                  <w:noWrap/>
                  <w:vAlign w:val="bottom"/>
                  <w:hideMark/>
                </w:tcPr>
                <w:p w14:paraId="799105B9" w14:textId="77777777" w:rsidR="002668F9" w:rsidRPr="00E52F9E" w:rsidRDefault="002668F9" w:rsidP="002668F9">
                  <w:pPr>
                    <w:spacing w:line="240" w:lineRule="auto"/>
                    <w:jc w:val="right"/>
                    <w:rPr>
                      <w:rFonts w:eastAsia="Times New Roman" w:cstheme="minorHAnsi"/>
                      <w:color w:val="000000"/>
                      <w:sz w:val="20"/>
                      <w:szCs w:val="20"/>
                      <w:lang w:eastAsia="en-GB"/>
                    </w:rPr>
                  </w:pPr>
                  <w:r w:rsidRPr="00E52F9E">
                    <w:rPr>
                      <w:rFonts w:eastAsia="Times New Roman" w:cstheme="minorHAnsi"/>
                      <w:color w:val="000000"/>
                      <w:sz w:val="20"/>
                      <w:szCs w:val="20"/>
                      <w:lang w:eastAsia="en-GB"/>
                    </w:rPr>
                    <w:t>£86,046.22</w:t>
                  </w:r>
                </w:p>
              </w:tc>
              <w:tc>
                <w:tcPr>
                  <w:tcW w:w="1360" w:type="dxa"/>
                  <w:tcBorders>
                    <w:top w:val="nil"/>
                    <w:left w:val="nil"/>
                    <w:bottom w:val="single" w:sz="8" w:space="0" w:color="auto"/>
                    <w:right w:val="single" w:sz="4" w:space="0" w:color="auto"/>
                  </w:tcBorders>
                  <w:shd w:val="clear" w:color="auto" w:fill="auto"/>
                  <w:noWrap/>
                  <w:vAlign w:val="bottom"/>
                  <w:hideMark/>
                </w:tcPr>
                <w:p w14:paraId="4B957188" w14:textId="77777777" w:rsidR="002668F9" w:rsidRPr="00E52F9E" w:rsidRDefault="002668F9" w:rsidP="002668F9">
                  <w:pPr>
                    <w:spacing w:line="240" w:lineRule="auto"/>
                    <w:jc w:val="right"/>
                    <w:rPr>
                      <w:rFonts w:eastAsia="Times New Roman" w:cstheme="minorHAnsi"/>
                      <w:color w:val="000000"/>
                      <w:sz w:val="20"/>
                      <w:szCs w:val="20"/>
                      <w:lang w:eastAsia="en-GB"/>
                    </w:rPr>
                  </w:pPr>
                  <w:r w:rsidRPr="00E52F9E">
                    <w:rPr>
                      <w:rFonts w:eastAsia="Times New Roman" w:cstheme="minorHAnsi"/>
                      <w:color w:val="000000"/>
                      <w:sz w:val="20"/>
                      <w:szCs w:val="20"/>
                      <w:lang w:eastAsia="en-GB"/>
                    </w:rPr>
                    <w:t>£23,788.75</w:t>
                  </w:r>
                </w:p>
              </w:tc>
              <w:tc>
                <w:tcPr>
                  <w:tcW w:w="1380" w:type="dxa"/>
                  <w:tcBorders>
                    <w:top w:val="nil"/>
                    <w:left w:val="nil"/>
                    <w:bottom w:val="single" w:sz="8" w:space="0" w:color="auto"/>
                    <w:right w:val="single" w:sz="4" w:space="0" w:color="auto"/>
                  </w:tcBorders>
                  <w:shd w:val="clear" w:color="000000" w:fill="E7E6E6"/>
                  <w:noWrap/>
                  <w:vAlign w:val="bottom"/>
                  <w:hideMark/>
                </w:tcPr>
                <w:p w14:paraId="3F315AD4" w14:textId="77777777" w:rsidR="002668F9" w:rsidRPr="00E52F9E" w:rsidRDefault="002668F9" w:rsidP="002668F9">
                  <w:pPr>
                    <w:spacing w:line="240" w:lineRule="auto"/>
                    <w:jc w:val="right"/>
                    <w:rPr>
                      <w:rFonts w:eastAsia="Times New Roman" w:cstheme="minorHAnsi"/>
                      <w:color w:val="000000"/>
                      <w:sz w:val="20"/>
                      <w:szCs w:val="20"/>
                      <w:lang w:eastAsia="en-GB"/>
                    </w:rPr>
                  </w:pPr>
                  <w:r w:rsidRPr="00E52F9E">
                    <w:rPr>
                      <w:rFonts w:eastAsia="Times New Roman" w:cstheme="minorHAnsi"/>
                      <w:color w:val="000000"/>
                      <w:sz w:val="20"/>
                      <w:szCs w:val="20"/>
                      <w:lang w:eastAsia="en-GB"/>
                    </w:rPr>
                    <w:t>£62,257.47</w:t>
                  </w:r>
                </w:p>
              </w:tc>
            </w:tr>
            <w:tr w:rsidR="002668F9" w:rsidRPr="00E52F9E" w14:paraId="2BF61081" w14:textId="77777777" w:rsidTr="002668F9">
              <w:trPr>
                <w:trHeight w:val="293"/>
              </w:trPr>
              <w:tc>
                <w:tcPr>
                  <w:tcW w:w="1320" w:type="dxa"/>
                  <w:tcBorders>
                    <w:top w:val="nil"/>
                    <w:left w:val="single" w:sz="8" w:space="0" w:color="auto"/>
                    <w:bottom w:val="single" w:sz="8" w:space="0" w:color="auto"/>
                    <w:right w:val="single" w:sz="4" w:space="0" w:color="auto"/>
                  </w:tcBorders>
                  <w:shd w:val="clear" w:color="auto" w:fill="auto"/>
                  <w:noWrap/>
                  <w:vAlign w:val="center"/>
                  <w:hideMark/>
                </w:tcPr>
                <w:p w14:paraId="4C145E39" w14:textId="77777777" w:rsidR="002668F9" w:rsidRPr="001855C7" w:rsidRDefault="002668F9" w:rsidP="002668F9">
                  <w:pPr>
                    <w:spacing w:line="240" w:lineRule="auto"/>
                    <w:rPr>
                      <w:rFonts w:eastAsia="Times New Roman" w:cstheme="minorHAnsi"/>
                      <w:color w:val="auto"/>
                      <w:sz w:val="20"/>
                      <w:szCs w:val="20"/>
                      <w:lang w:eastAsia="en-GB"/>
                    </w:rPr>
                  </w:pPr>
                  <w:r w:rsidRPr="001855C7">
                    <w:rPr>
                      <w:rFonts w:eastAsia="Times New Roman" w:cstheme="minorHAnsi"/>
                      <w:color w:val="auto"/>
                      <w:sz w:val="20"/>
                      <w:szCs w:val="20"/>
                      <w:lang w:eastAsia="en-GB"/>
                    </w:rPr>
                    <w:t>Total</w:t>
                  </w:r>
                </w:p>
              </w:tc>
              <w:tc>
                <w:tcPr>
                  <w:tcW w:w="1460" w:type="dxa"/>
                  <w:tcBorders>
                    <w:top w:val="nil"/>
                    <w:left w:val="nil"/>
                    <w:bottom w:val="single" w:sz="8" w:space="0" w:color="auto"/>
                    <w:right w:val="single" w:sz="8" w:space="0" w:color="auto"/>
                  </w:tcBorders>
                  <w:shd w:val="clear" w:color="auto" w:fill="auto"/>
                  <w:noWrap/>
                  <w:vAlign w:val="bottom"/>
                  <w:hideMark/>
                </w:tcPr>
                <w:p w14:paraId="446F8F1E" w14:textId="77777777" w:rsidR="002668F9" w:rsidRPr="001855C7" w:rsidRDefault="002668F9" w:rsidP="002668F9">
                  <w:pPr>
                    <w:spacing w:line="240" w:lineRule="auto"/>
                    <w:jc w:val="right"/>
                    <w:rPr>
                      <w:rFonts w:eastAsia="Times New Roman" w:cstheme="minorHAnsi"/>
                      <w:color w:val="auto"/>
                      <w:sz w:val="20"/>
                      <w:szCs w:val="20"/>
                      <w:lang w:eastAsia="en-GB"/>
                    </w:rPr>
                  </w:pPr>
                  <w:r w:rsidRPr="001855C7">
                    <w:rPr>
                      <w:rFonts w:eastAsia="Times New Roman" w:cstheme="minorHAnsi"/>
                      <w:color w:val="auto"/>
                      <w:sz w:val="20"/>
                      <w:szCs w:val="20"/>
                      <w:lang w:eastAsia="en-GB"/>
                    </w:rPr>
                    <w:t>100.0%</w:t>
                  </w:r>
                </w:p>
              </w:tc>
              <w:tc>
                <w:tcPr>
                  <w:tcW w:w="1560" w:type="dxa"/>
                  <w:tcBorders>
                    <w:top w:val="nil"/>
                    <w:left w:val="nil"/>
                    <w:bottom w:val="single" w:sz="8" w:space="0" w:color="auto"/>
                    <w:right w:val="single" w:sz="4" w:space="0" w:color="auto"/>
                  </w:tcBorders>
                  <w:shd w:val="clear" w:color="000000" w:fill="E7E6E6"/>
                  <w:noWrap/>
                  <w:vAlign w:val="bottom"/>
                  <w:hideMark/>
                </w:tcPr>
                <w:p w14:paraId="06D246A5" w14:textId="77777777" w:rsidR="002668F9" w:rsidRPr="00E52F9E" w:rsidRDefault="002668F9" w:rsidP="002668F9">
                  <w:pPr>
                    <w:spacing w:line="240" w:lineRule="auto"/>
                    <w:jc w:val="right"/>
                    <w:rPr>
                      <w:rFonts w:eastAsia="Times New Roman" w:cstheme="minorHAnsi"/>
                      <w:color w:val="000000"/>
                      <w:sz w:val="20"/>
                      <w:szCs w:val="20"/>
                      <w:lang w:eastAsia="en-GB"/>
                    </w:rPr>
                  </w:pPr>
                  <w:r w:rsidRPr="00E52F9E">
                    <w:rPr>
                      <w:rFonts w:eastAsia="Times New Roman" w:cstheme="minorHAnsi"/>
                      <w:color w:val="000000"/>
                      <w:sz w:val="20"/>
                      <w:szCs w:val="20"/>
                      <w:lang w:eastAsia="en-GB"/>
                    </w:rPr>
                    <w:t>£743,932.00</w:t>
                  </w:r>
                </w:p>
              </w:tc>
              <w:tc>
                <w:tcPr>
                  <w:tcW w:w="1360" w:type="dxa"/>
                  <w:tcBorders>
                    <w:top w:val="nil"/>
                    <w:left w:val="nil"/>
                    <w:bottom w:val="single" w:sz="8" w:space="0" w:color="auto"/>
                    <w:right w:val="single" w:sz="4" w:space="0" w:color="auto"/>
                  </w:tcBorders>
                  <w:shd w:val="clear" w:color="000000" w:fill="E7E6E6"/>
                  <w:noWrap/>
                  <w:vAlign w:val="bottom"/>
                  <w:hideMark/>
                </w:tcPr>
                <w:p w14:paraId="4BECEC20" w14:textId="77777777" w:rsidR="002668F9" w:rsidRPr="00E52F9E" w:rsidRDefault="002668F9" w:rsidP="002668F9">
                  <w:pPr>
                    <w:spacing w:line="240" w:lineRule="auto"/>
                    <w:jc w:val="right"/>
                    <w:rPr>
                      <w:rFonts w:eastAsia="Times New Roman" w:cstheme="minorHAnsi"/>
                      <w:color w:val="000000"/>
                      <w:sz w:val="20"/>
                      <w:szCs w:val="20"/>
                      <w:lang w:eastAsia="en-GB"/>
                    </w:rPr>
                  </w:pPr>
                  <w:r w:rsidRPr="00E52F9E">
                    <w:rPr>
                      <w:rFonts w:eastAsia="Times New Roman" w:cstheme="minorHAnsi"/>
                      <w:color w:val="000000"/>
                      <w:sz w:val="20"/>
                      <w:szCs w:val="20"/>
                      <w:lang w:eastAsia="en-GB"/>
                    </w:rPr>
                    <w:t>£205,671.00</w:t>
                  </w:r>
                </w:p>
              </w:tc>
              <w:tc>
                <w:tcPr>
                  <w:tcW w:w="1380" w:type="dxa"/>
                  <w:tcBorders>
                    <w:top w:val="nil"/>
                    <w:left w:val="nil"/>
                    <w:bottom w:val="single" w:sz="8" w:space="0" w:color="auto"/>
                    <w:right w:val="single" w:sz="4" w:space="0" w:color="auto"/>
                  </w:tcBorders>
                  <w:shd w:val="clear" w:color="000000" w:fill="E7E6E6"/>
                  <w:noWrap/>
                  <w:vAlign w:val="bottom"/>
                  <w:hideMark/>
                </w:tcPr>
                <w:p w14:paraId="5B2B6CB4" w14:textId="77777777" w:rsidR="002668F9" w:rsidRPr="00E52F9E" w:rsidRDefault="002668F9" w:rsidP="002668F9">
                  <w:pPr>
                    <w:spacing w:line="240" w:lineRule="auto"/>
                    <w:jc w:val="right"/>
                    <w:rPr>
                      <w:rFonts w:eastAsia="Times New Roman" w:cstheme="minorHAnsi"/>
                      <w:color w:val="000000"/>
                      <w:sz w:val="20"/>
                      <w:szCs w:val="20"/>
                      <w:lang w:eastAsia="en-GB"/>
                    </w:rPr>
                  </w:pPr>
                  <w:r w:rsidRPr="00E52F9E">
                    <w:rPr>
                      <w:rFonts w:eastAsia="Times New Roman" w:cstheme="minorHAnsi"/>
                      <w:color w:val="000000"/>
                      <w:sz w:val="20"/>
                      <w:szCs w:val="20"/>
                      <w:lang w:eastAsia="en-GB"/>
                    </w:rPr>
                    <w:t>£538,261.00</w:t>
                  </w:r>
                </w:p>
              </w:tc>
            </w:tr>
          </w:tbl>
          <w:p w14:paraId="77A6123D" w14:textId="42E69284" w:rsidR="00C03C75" w:rsidRDefault="00C03C75" w:rsidP="00E718DF">
            <w:pPr>
              <w:pStyle w:val="ChartSubtitle"/>
              <w:rPr>
                <w:rFonts w:cstheme="minorHAnsi"/>
                <w:color w:val="auto"/>
                <w:szCs w:val="20"/>
              </w:rPr>
            </w:pPr>
          </w:p>
          <w:p w14:paraId="440870F4" w14:textId="703C3AF8" w:rsidR="00BB33EE" w:rsidRPr="0096244B" w:rsidRDefault="00BB33EE" w:rsidP="00E718DF">
            <w:pPr>
              <w:pStyle w:val="ChartSubtitle"/>
              <w:rPr>
                <w:rFonts w:cstheme="minorHAnsi"/>
                <w:color w:val="auto"/>
                <w:szCs w:val="20"/>
              </w:rPr>
            </w:pPr>
            <w:r>
              <w:rPr>
                <w:rFonts w:cstheme="minorHAnsi"/>
                <w:color w:val="auto"/>
                <w:szCs w:val="20"/>
              </w:rPr>
              <w:t xml:space="preserve">+ SGN only payment in </w:t>
            </w:r>
            <w:proofErr w:type="spellStart"/>
            <w:r>
              <w:rPr>
                <w:rFonts w:cstheme="minorHAnsi"/>
                <w:color w:val="auto"/>
                <w:szCs w:val="20"/>
              </w:rPr>
              <w:t>Yr</w:t>
            </w:r>
            <w:proofErr w:type="spellEnd"/>
            <w:r>
              <w:rPr>
                <w:rFonts w:cstheme="minorHAnsi"/>
                <w:color w:val="auto"/>
                <w:szCs w:val="20"/>
              </w:rPr>
              <w:t xml:space="preserve"> 1 of £1,500 for independent SROI forecast</w:t>
            </w:r>
          </w:p>
          <w:p w14:paraId="11598E8C" w14:textId="77777777" w:rsidR="00C50E40" w:rsidRPr="0096244B" w:rsidRDefault="00C50E40" w:rsidP="00E718DF">
            <w:pPr>
              <w:pStyle w:val="ChartSubtitle"/>
              <w:rPr>
                <w:rFonts w:cstheme="minorHAnsi"/>
                <w:color w:val="auto"/>
                <w:szCs w:val="20"/>
              </w:rPr>
            </w:pPr>
          </w:p>
          <w:p w14:paraId="65B217D4" w14:textId="7045AEB6" w:rsidR="00C50E40" w:rsidRPr="0096244B" w:rsidRDefault="00C50E40" w:rsidP="00E718DF">
            <w:pPr>
              <w:pStyle w:val="ChartSubtitle"/>
              <w:rPr>
                <w:rFonts w:cstheme="minorHAnsi"/>
                <w:color w:val="auto"/>
                <w:szCs w:val="20"/>
              </w:rPr>
            </w:pPr>
          </w:p>
        </w:tc>
      </w:tr>
      <w:tr w:rsidR="003115F2" w:rsidRPr="00E52F9E" w14:paraId="268A9355" w14:textId="77777777" w:rsidTr="00182BE2">
        <w:trPr>
          <w:trHeight w:val="239"/>
        </w:trPr>
        <w:tc>
          <w:tcPr>
            <w:tcW w:w="1476" w:type="pct"/>
          </w:tcPr>
          <w:p w14:paraId="7B37EE1A" w14:textId="63C8FA9E" w:rsidR="008A1D56" w:rsidRPr="0096244B" w:rsidRDefault="008A1D56" w:rsidP="00BA125F">
            <w:pPr>
              <w:pStyle w:val="ChartSubtitle"/>
              <w:rPr>
                <w:rFonts w:cstheme="minorHAnsi"/>
                <w:b/>
                <w:color w:val="auto"/>
                <w:szCs w:val="20"/>
              </w:rPr>
            </w:pPr>
            <w:r w:rsidRPr="0096244B">
              <w:rPr>
                <w:rFonts w:cstheme="minorHAnsi"/>
                <w:b/>
                <w:color w:val="auto"/>
                <w:szCs w:val="20"/>
              </w:rPr>
              <w:t>Total VCMA Funding Required (£k)</w:t>
            </w:r>
          </w:p>
          <w:p w14:paraId="205F3494" w14:textId="2D42EAD6" w:rsidR="008A1D56" w:rsidRPr="0096244B" w:rsidRDefault="008A1D56" w:rsidP="00BA125F">
            <w:pPr>
              <w:pStyle w:val="ChartSubtitle"/>
              <w:rPr>
                <w:rFonts w:cstheme="minorHAnsi"/>
                <w:b/>
                <w:color w:val="auto"/>
                <w:szCs w:val="20"/>
              </w:rPr>
            </w:pPr>
          </w:p>
        </w:tc>
        <w:tc>
          <w:tcPr>
            <w:tcW w:w="3524" w:type="pct"/>
          </w:tcPr>
          <w:p w14:paraId="4664B280" w14:textId="77777777" w:rsidR="008A1D56" w:rsidRDefault="006540E1" w:rsidP="00296FC7">
            <w:pPr>
              <w:pStyle w:val="ChartSubtitle"/>
              <w:rPr>
                <w:rFonts w:cstheme="minorHAnsi"/>
                <w:color w:val="auto"/>
                <w:szCs w:val="20"/>
              </w:rPr>
            </w:pPr>
            <w:r w:rsidRPr="0096244B">
              <w:rPr>
                <w:rFonts w:cstheme="minorHAnsi"/>
                <w:color w:val="auto"/>
                <w:szCs w:val="20"/>
              </w:rPr>
              <w:t>£</w:t>
            </w:r>
            <w:r w:rsidR="00C04013" w:rsidRPr="0096244B">
              <w:rPr>
                <w:rFonts w:cstheme="minorHAnsi"/>
                <w:color w:val="auto"/>
                <w:szCs w:val="20"/>
              </w:rPr>
              <w:t>74</w:t>
            </w:r>
            <w:r w:rsidR="00BB33EE">
              <w:rPr>
                <w:rFonts w:cstheme="minorHAnsi"/>
                <w:color w:val="auto"/>
                <w:szCs w:val="20"/>
              </w:rPr>
              <w:t>5,4</w:t>
            </w:r>
            <w:r w:rsidR="00C04013" w:rsidRPr="0096244B">
              <w:rPr>
                <w:rFonts w:cstheme="minorHAnsi"/>
                <w:color w:val="auto"/>
                <w:szCs w:val="20"/>
              </w:rPr>
              <w:t>32.00</w:t>
            </w:r>
          </w:p>
          <w:p w14:paraId="7F70D439" w14:textId="02BBA505" w:rsidR="00BB33EE" w:rsidRPr="0096244B" w:rsidRDefault="00BB33EE" w:rsidP="00296FC7">
            <w:pPr>
              <w:pStyle w:val="ChartSubtitle"/>
              <w:rPr>
                <w:rFonts w:cstheme="minorHAnsi"/>
                <w:color w:val="auto"/>
                <w:szCs w:val="20"/>
              </w:rPr>
            </w:pPr>
          </w:p>
        </w:tc>
      </w:tr>
      <w:tr w:rsidR="003115F2" w:rsidRPr="00E52F9E" w14:paraId="16DE35CE" w14:textId="77777777" w:rsidTr="00182BE2">
        <w:trPr>
          <w:trHeight w:val="239"/>
        </w:trPr>
        <w:tc>
          <w:tcPr>
            <w:tcW w:w="1476" w:type="pct"/>
          </w:tcPr>
          <w:p w14:paraId="25C42C63" w14:textId="28B89FDC" w:rsidR="00BA125F" w:rsidRPr="00E52F9E" w:rsidRDefault="00BA125F" w:rsidP="00BA125F">
            <w:pPr>
              <w:pStyle w:val="ChartSubtitle"/>
              <w:rPr>
                <w:rFonts w:cstheme="minorHAnsi"/>
                <w:b/>
                <w:color w:val="auto"/>
                <w:szCs w:val="20"/>
              </w:rPr>
            </w:pPr>
            <w:r w:rsidRPr="00E52F9E">
              <w:rPr>
                <w:rFonts w:cstheme="minorHAnsi"/>
                <w:b/>
                <w:color w:val="auto"/>
                <w:szCs w:val="20"/>
              </w:rPr>
              <w:t>Problem(s)</w:t>
            </w:r>
          </w:p>
          <w:p w14:paraId="2E8765DB" w14:textId="071AAF4F" w:rsidR="00BA125F" w:rsidRPr="00E52F9E" w:rsidRDefault="00BA125F" w:rsidP="00BA125F">
            <w:pPr>
              <w:pStyle w:val="ChartSubtitle"/>
              <w:rPr>
                <w:rFonts w:cstheme="minorHAnsi"/>
                <w:b/>
                <w:color w:val="auto"/>
                <w:szCs w:val="20"/>
              </w:rPr>
            </w:pPr>
          </w:p>
        </w:tc>
        <w:tc>
          <w:tcPr>
            <w:tcW w:w="3524" w:type="pct"/>
          </w:tcPr>
          <w:p w14:paraId="73C85BCC" w14:textId="72A998C0" w:rsidR="00CE545A" w:rsidRPr="00E52F9E" w:rsidRDefault="00237DA6" w:rsidP="00CE545A">
            <w:pPr>
              <w:shd w:val="clear" w:color="auto" w:fill="FFFFFF"/>
              <w:spacing w:after="100" w:afterAutospacing="1" w:line="240" w:lineRule="auto"/>
              <w:rPr>
                <w:rFonts w:cstheme="minorHAnsi"/>
                <w:color w:val="auto"/>
                <w:sz w:val="20"/>
                <w:szCs w:val="20"/>
              </w:rPr>
            </w:pPr>
            <w:r w:rsidRPr="00E52F9E">
              <w:rPr>
                <w:rStyle w:val="FootnoteReference"/>
                <w:rFonts w:cstheme="minorHAnsi"/>
                <w:sz w:val="20"/>
                <w:szCs w:val="20"/>
              </w:rPr>
              <w:footnoteReference w:id="2"/>
            </w:r>
            <w:r w:rsidRPr="00E52F9E">
              <w:rPr>
                <w:rFonts w:cstheme="minorHAnsi"/>
                <w:sz w:val="20"/>
                <w:szCs w:val="20"/>
              </w:rPr>
              <w:t>D</w:t>
            </w:r>
            <w:r w:rsidR="00C04013" w:rsidRPr="00E52F9E">
              <w:rPr>
                <w:rFonts w:cstheme="minorHAnsi"/>
                <w:color w:val="auto"/>
                <w:sz w:val="20"/>
                <w:szCs w:val="20"/>
              </w:rPr>
              <w:t>uring 202</w:t>
            </w:r>
            <w:r w:rsidRPr="00E52F9E">
              <w:rPr>
                <w:rFonts w:cstheme="minorHAnsi"/>
                <w:color w:val="auto"/>
                <w:sz w:val="20"/>
                <w:szCs w:val="20"/>
              </w:rPr>
              <w:t>4</w:t>
            </w:r>
            <w:r w:rsidR="00C04013" w:rsidRPr="00E52F9E">
              <w:rPr>
                <w:rFonts w:cstheme="minorHAnsi"/>
                <w:color w:val="auto"/>
                <w:sz w:val="20"/>
                <w:szCs w:val="20"/>
              </w:rPr>
              <w:t xml:space="preserve"> it is estimated that 13.4% of households </w:t>
            </w:r>
            <w:r w:rsidR="004E6B4B">
              <w:rPr>
                <w:rFonts w:cstheme="minorHAnsi"/>
                <w:color w:val="auto"/>
                <w:sz w:val="20"/>
                <w:szCs w:val="20"/>
              </w:rPr>
              <w:t>are</w:t>
            </w:r>
            <w:r w:rsidR="004E6B4B" w:rsidRPr="00E52F9E">
              <w:rPr>
                <w:rFonts w:cstheme="minorHAnsi"/>
                <w:color w:val="auto"/>
                <w:sz w:val="20"/>
                <w:szCs w:val="20"/>
              </w:rPr>
              <w:t xml:space="preserve"> </w:t>
            </w:r>
            <w:r w:rsidR="00C04013" w:rsidRPr="00E52F9E">
              <w:rPr>
                <w:rFonts w:cstheme="minorHAnsi"/>
                <w:color w:val="auto"/>
                <w:sz w:val="20"/>
                <w:szCs w:val="20"/>
              </w:rPr>
              <w:t>living in fuel poverty</w:t>
            </w:r>
            <w:r w:rsidRPr="00E52F9E">
              <w:rPr>
                <w:rFonts w:cstheme="minorHAnsi"/>
                <w:color w:val="auto"/>
                <w:sz w:val="20"/>
                <w:szCs w:val="20"/>
              </w:rPr>
              <w:t xml:space="preserve"> in England, 20% of households in Scotland and 14% in Wales</w:t>
            </w:r>
            <w:r w:rsidR="00C04013" w:rsidRPr="00E52F9E">
              <w:rPr>
                <w:rFonts w:cstheme="minorHAnsi"/>
                <w:color w:val="auto"/>
                <w:sz w:val="20"/>
                <w:szCs w:val="20"/>
              </w:rPr>
              <w:t xml:space="preserve">. </w:t>
            </w:r>
          </w:p>
          <w:p w14:paraId="013F6E9D" w14:textId="6366D31F" w:rsidR="00EB74E6" w:rsidRPr="00E52F9E" w:rsidRDefault="00EB74E6" w:rsidP="2C10E815">
            <w:pPr>
              <w:pStyle w:val="ChartSubtitle"/>
              <w:rPr>
                <w:rFonts w:cstheme="minorHAnsi"/>
                <w:color w:val="auto"/>
                <w:szCs w:val="20"/>
              </w:rPr>
            </w:pPr>
            <w:r w:rsidRPr="00E52F9E">
              <w:rPr>
                <w:rFonts w:cstheme="minorHAnsi"/>
                <w:color w:val="auto"/>
                <w:szCs w:val="20"/>
              </w:rPr>
              <w:t xml:space="preserve">The cost-of-living crisis has had a huge impact </w:t>
            </w:r>
            <w:r w:rsidR="003E0137" w:rsidRPr="00E52F9E">
              <w:rPr>
                <w:rFonts w:cstheme="minorHAnsi"/>
                <w:color w:val="auto"/>
                <w:szCs w:val="20"/>
              </w:rPr>
              <w:t>on household</w:t>
            </w:r>
            <w:r w:rsidRPr="00E52F9E">
              <w:rPr>
                <w:rFonts w:cstheme="minorHAnsi"/>
                <w:color w:val="auto"/>
                <w:szCs w:val="20"/>
              </w:rPr>
              <w:t xml:space="preserve"> affordability, with Citizens Advice reporting an increase in the number of people accessing their crisis support service for the first time. Additionally, the not-for-profit sector has experienced two challenges because of the cost-of-living crisis: </w:t>
            </w:r>
          </w:p>
          <w:p w14:paraId="79832412" w14:textId="77777777" w:rsidR="00EB74E6" w:rsidRPr="00E52F9E" w:rsidRDefault="00EB74E6" w:rsidP="00EB74E6">
            <w:pPr>
              <w:pStyle w:val="ChartSubtitle"/>
              <w:numPr>
                <w:ilvl w:val="0"/>
                <w:numId w:val="29"/>
              </w:numPr>
              <w:spacing w:line="240" w:lineRule="auto"/>
              <w:jc w:val="both"/>
              <w:rPr>
                <w:rFonts w:cstheme="minorHAnsi"/>
                <w:color w:val="auto"/>
                <w:szCs w:val="20"/>
              </w:rPr>
            </w:pPr>
            <w:r w:rsidRPr="00E52F9E">
              <w:rPr>
                <w:rFonts w:cstheme="minorHAnsi"/>
                <w:color w:val="auto"/>
                <w:szCs w:val="20"/>
              </w:rPr>
              <w:t>Support services are oversubscribed often with longer waiting times than usual.</w:t>
            </w:r>
          </w:p>
          <w:p w14:paraId="44A4CC53" w14:textId="39460194" w:rsidR="00EB74E6" w:rsidRPr="00E52F9E" w:rsidRDefault="00EB74E6" w:rsidP="2C10E815">
            <w:pPr>
              <w:pStyle w:val="ListParagraph"/>
              <w:numPr>
                <w:ilvl w:val="0"/>
                <w:numId w:val="29"/>
              </w:numPr>
              <w:shd w:val="clear" w:color="auto" w:fill="FFFFFF" w:themeFill="background1"/>
              <w:spacing w:after="100" w:afterAutospacing="1" w:line="240" w:lineRule="auto"/>
              <w:rPr>
                <w:rFonts w:cstheme="minorHAnsi"/>
                <w:color w:val="auto"/>
                <w:sz w:val="20"/>
                <w:szCs w:val="20"/>
              </w:rPr>
            </w:pPr>
            <w:r w:rsidRPr="00E52F9E">
              <w:rPr>
                <w:rFonts w:cstheme="minorHAnsi"/>
                <w:color w:val="auto"/>
                <w:sz w:val="20"/>
                <w:szCs w:val="20"/>
              </w:rPr>
              <w:t>Customers who were previously managing without the assistance of a third party now need affordability related guidance</w:t>
            </w:r>
            <w:r w:rsidR="2288E14F" w:rsidRPr="00E52F9E">
              <w:rPr>
                <w:rFonts w:cstheme="minorHAnsi"/>
                <w:color w:val="auto"/>
                <w:sz w:val="20"/>
                <w:szCs w:val="20"/>
              </w:rPr>
              <w:t xml:space="preserve">. </w:t>
            </w:r>
          </w:p>
          <w:p w14:paraId="7F1720EE" w14:textId="77777777" w:rsidR="00A53C17" w:rsidRPr="00E52F9E" w:rsidRDefault="00A53C17" w:rsidP="00CE545A">
            <w:pPr>
              <w:shd w:val="clear" w:color="auto" w:fill="FFFFFF"/>
              <w:spacing w:after="100" w:afterAutospacing="1" w:line="240" w:lineRule="auto"/>
              <w:rPr>
                <w:rFonts w:cstheme="minorHAnsi"/>
                <w:color w:val="auto"/>
                <w:sz w:val="20"/>
                <w:szCs w:val="20"/>
              </w:rPr>
            </w:pPr>
            <w:r w:rsidRPr="00E52F9E">
              <w:rPr>
                <w:rFonts w:cstheme="minorHAnsi"/>
                <w:color w:val="auto"/>
                <w:sz w:val="20"/>
                <w:szCs w:val="20"/>
              </w:rPr>
              <w:t>With the cost-of-living crisis affecting more customers the need for advice and support is ever growing.</w:t>
            </w:r>
          </w:p>
          <w:p w14:paraId="7905FF4E" w14:textId="7B61E3DA" w:rsidR="00C33603" w:rsidRPr="00E52F9E" w:rsidRDefault="00C33603" w:rsidP="00CE545A">
            <w:pPr>
              <w:shd w:val="clear" w:color="auto" w:fill="FFFFFF"/>
              <w:spacing w:after="100" w:afterAutospacing="1" w:line="240" w:lineRule="auto"/>
              <w:rPr>
                <w:rFonts w:cstheme="minorHAnsi"/>
                <w:color w:val="auto"/>
                <w:sz w:val="20"/>
                <w:szCs w:val="20"/>
              </w:rPr>
            </w:pPr>
            <w:r w:rsidRPr="00E52F9E">
              <w:rPr>
                <w:rFonts w:cstheme="minorHAnsi"/>
                <w:color w:val="auto"/>
                <w:sz w:val="20"/>
                <w:szCs w:val="20"/>
              </w:rPr>
              <w:t>Every year there are billions of pounds in unclaimed benefits which customers are not aware they are entitled to. A new research report by Policy and Practice estimates that the total amount of unclaimed income-related benefits and social tariffs is now around £19 billion a year.</w:t>
            </w:r>
          </w:p>
          <w:p w14:paraId="1B0F9198" w14:textId="05DA118B" w:rsidR="00A53C17" w:rsidRPr="00E52F9E" w:rsidRDefault="00A53C17" w:rsidP="2C10E815">
            <w:pPr>
              <w:shd w:val="clear" w:color="auto" w:fill="FFFFFF" w:themeFill="background1"/>
              <w:spacing w:after="100" w:afterAutospacing="1" w:line="240" w:lineRule="auto"/>
              <w:rPr>
                <w:rFonts w:cstheme="minorHAnsi"/>
                <w:color w:val="auto"/>
                <w:sz w:val="20"/>
                <w:szCs w:val="20"/>
              </w:rPr>
            </w:pPr>
            <w:r w:rsidRPr="00E52F9E">
              <w:rPr>
                <w:rFonts w:cstheme="minorHAnsi"/>
                <w:color w:val="auto"/>
                <w:sz w:val="20"/>
                <w:szCs w:val="20"/>
              </w:rPr>
              <w:t xml:space="preserve">The need for </w:t>
            </w:r>
            <w:r w:rsidR="010F5AA3" w:rsidRPr="00E52F9E">
              <w:rPr>
                <w:rFonts w:cstheme="minorHAnsi"/>
                <w:color w:val="auto"/>
                <w:sz w:val="20"/>
                <w:szCs w:val="20"/>
              </w:rPr>
              <w:t>up-to-date</w:t>
            </w:r>
            <w:r w:rsidRPr="00E52F9E">
              <w:rPr>
                <w:rFonts w:cstheme="minorHAnsi"/>
                <w:color w:val="auto"/>
                <w:sz w:val="20"/>
                <w:szCs w:val="20"/>
              </w:rPr>
              <w:t xml:space="preserve"> information for customers on energy savings is greater than ever and those who are living in vulnerable situations and in fuel poverty this seems </w:t>
            </w:r>
            <w:r w:rsidR="000B45B7" w:rsidRPr="00E52F9E">
              <w:rPr>
                <w:rFonts w:cstheme="minorHAnsi"/>
                <w:color w:val="auto"/>
                <w:sz w:val="20"/>
                <w:szCs w:val="20"/>
              </w:rPr>
              <w:t>exceedingly difficult</w:t>
            </w:r>
            <w:r w:rsidRPr="00E52F9E">
              <w:rPr>
                <w:rFonts w:cstheme="minorHAnsi"/>
                <w:color w:val="auto"/>
                <w:sz w:val="20"/>
                <w:szCs w:val="20"/>
              </w:rPr>
              <w:t xml:space="preserve"> to navigate.</w:t>
            </w:r>
          </w:p>
          <w:p w14:paraId="2A8F3120" w14:textId="23730DD4" w:rsidR="00A53C17" w:rsidRPr="00E52F9E" w:rsidRDefault="00A53C17" w:rsidP="2C10E815">
            <w:pPr>
              <w:shd w:val="clear" w:color="auto" w:fill="FFFFFF" w:themeFill="background1"/>
              <w:spacing w:after="100" w:afterAutospacing="1" w:line="240" w:lineRule="auto"/>
              <w:rPr>
                <w:rFonts w:cstheme="minorHAnsi"/>
                <w:color w:val="auto"/>
                <w:sz w:val="20"/>
                <w:szCs w:val="20"/>
              </w:rPr>
            </w:pPr>
            <w:r w:rsidRPr="00E52F9E">
              <w:rPr>
                <w:rFonts w:cstheme="minorHAnsi"/>
                <w:color w:val="auto"/>
                <w:sz w:val="20"/>
                <w:szCs w:val="20"/>
              </w:rPr>
              <w:t xml:space="preserve">There is a direct correlation between fuel poverty and carbon monoxide poisoning. Lower income households are often reliant on older boilers, older heaters or even </w:t>
            </w:r>
            <w:r w:rsidRPr="00E52F9E">
              <w:rPr>
                <w:rFonts w:cstheme="minorHAnsi"/>
                <w:color w:val="auto"/>
                <w:sz w:val="20"/>
                <w:szCs w:val="20"/>
              </w:rPr>
              <w:lastRenderedPageBreak/>
              <w:t>gas stoves or cookers to heat their homes. National Energy Action and Gas Safety Trust research found 35% of low income and vulnerable households surveyed exceeded the 10ppm threshold for carbon monoxide levels.</w:t>
            </w:r>
          </w:p>
          <w:p w14:paraId="3F80165A" w14:textId="77777777" w:rsidR="00A53C17" w:rsidRPr="00E52F9E" w:rsidRDefault="00A53C17" w:rsidP="00CE545A">
            <w:pPr>
              <w:shd w:val="clear" w:color="auto" w:fill="FFFFFF"/>
              <w:spacing w:after="100" w:afterAutospacing="1" w:line="240" w:lineRule="auto"/>
              <w:rPr>
                <w:rFonts w:cstheme="minorHAnsi"/>
                <w:color w:val="auto"/>
                <w:sz w:val="20"/>
                <w:szCs w:val="20"/>
              </w:rPr>
            </w:pPr>
            <w:r w:rsidRPr="00E52F9E">
              <w:rPr>
                <w:rFonts w:cstheme="minorHAnsi"/>
                <w:color w:val="auto"/>
                <w:sz w:val="20"/>
                <w:szCs w:val="20"/>
              </w:rPr>
              <w:t>[1] People living in deprived areas are also less likely to own an audible CO alarm than homes in non-deprived areas, further increasing the risk of CO poisoning.</w:t>
            </w:r>
          </w:p>
          <w:p w14:paraId="3093D0F9" w14:textId="77777777" w:rsidR="00A53C17" w:rsidRPr="00E52F9E" w:rsidRDefault="00A53C17" w:rsidP="00CE545A">
            <w:pPr>
              <w:shd w:val="clear" w:color="auto" w:fill="FFFFFF"/>
              <w:spacing w:after="100" w:afterAutospacing="1" w:line="240" w:lineRule="auto"/>
              <w:rPr>
                <w:rFonts w:cstheme="minorHAnsi"/>
                <w:color w:val="auto"/>
                <w:sz w:val="20"/>
                <w:szCs w:val="20"/>
              </w:rPr>
            </w:pPr>
            <w:r w:rsidRPr="00E52F9E">
              <w:rPr>
                <w:rFonts w:cstheme="minorHAnsi"/>
                <w:color w:val="auto"/>
                <w:sz w:val="20"/>
                <w:szCs w:val="20"/>
              </w:rPr>
              <w:t>[2] Older people, pregnant women, and young children have also been found to be particularly vulnerable to CO poisoning, spending more time at home and with a need to stay warm, resulting using the heating more regularly.</w:t>
            </w:r>
          </w:p>
          <w:p w14:paraId="538A38B1" w14:textId="2FE64939" w:rsidR="00A53C17" w:rsidRPr="00E52F9E" w:rsidRDefault="00A53C17" w:rsidP="00CE545A">
            <w:pPr>
              <w:shd w:val="clear" w:color="auto" w:fill="FFFFFF"/>
              <w:spacing w:after="100" w:afterAutospacing="1" w:line="240" w:lineRule="auto"/>
              <w:rPr>
                <w:rFonts w:cstheme="minorHAnsi"/>
                <w:color w:val="auto"/>
                <w:sz w:val="20"/>
                <w:szCs w:val="20"/>
              </w:rPr>
            </w:pPr>
            <w:r w:rsidRPr="00E52F9E">
              <w:rPr>
                <w:rFonts w:cstheme="minorHAnsi"/>
                <w:color w:val="auto"/>
                <w:sz w:val="20"/>
                <w:szCs w:val="20"/>
              </w:rPr>
              <w:t>[3] Social tenants are less at risk due to RSL requirements for annual gas safety checks and higher energy efficiency standards.</w:t>
            </w:r>
          </w:p>
          <w:p w14:paraId="45B1C5A9" w14:textId="3ADE2B4F" w:rsidR="00385C9C" w:rsidRPr="00E52F9E" w:rsidRDefault="00CF00F6" w:rsidP="2C10E815">
            <w:pPr>
              <w:shd w:val="clear" w:color="auto" w:fill="FFFFFF" w:themeFill="background1"/>
              <w:spacing w:after="100" w:afterAutospacing="1" w:line="240" w:lineRule="auto"/>
              <w:rPr>
                <w:rFonts w:cstheme="minorHAnsi"/>
                <w:color w:val="auto"/>
                <w:sz w:val="20"/>
                <w:szCs w:val="20"/>
              </w:rPr>
            </w:pPr>
            <w:r w:rsidRPr="00E52F9E">
              <w:rPr>
                <w:rFonts w:cstheme="minorHAnsi"/>
                <w:color w:val="auto"/>
                <w:sz w:val="20"/>
                <w:szCs w:val="20"/>
              </w:rPr>
              <w:t xml:space="preserve">Carbon Monoxide (CO) can pose a serious threat to human health and even fatality, with around </w:t>
            </w:r>
            <w:r w:rsidR="000B45B7" w:rsidRPr="00E52F9E">
              <w:rPr>
                <w:rFonts w:cstheme="minorHAnsi"/>
                <w:color w:val="auto"/>
                <w:sz w:val="20"/>
                <w:szCs w:val="20"/>
              </w:rPr>
              <w:t>forty</w:t>
            </w:r>
            <w:r w:rsidRPr="00E52F9E">
              <w:rPr>
                <w:rFonts w:cstheme="minorHAnsi"/>
                <w:color w:val="auto"/>
                <w:sz w:val="20"/>
                <w:szCs w:val="20"/>
              </w:rPr>
              <w:t xml:space="preserve"> deaths caused by CO poisoning each year in the UK and 4,000 people treated in hospital </w:t>
            </w:r>
            <w:bookmarkStart w:id="0" w:name="_Int_2pMQtBqT"/>
            <w:r w:rsidRPr="00E52F9E">
              <w:rPr>
                <w:rFonts w:cstheme="minorHAnsi"/>
                <w:color w:val="auto"/>
                <w:sz w:val="20"/>
                <w:szCs w:val="20"/>
              </w:rPr>
              <w:t>as a result of</w:t>
            </w:r>
            <w:bookmarkEnd w:id="0"/>
            <w:r w:rsidRPr="00E52F9E">
              <w:rPr>
                <w:rFonts w:cstheme="minorHAnsi"/>
                <w:color w:val="auto"/>
                <w:sz w:val="20"/>
                <w:szCs w:val="20"/>
              </w:rPr>
              <w:t xml:space="preserve"> CO poisoning. Many people in the UK who use carbon fuelled appliances are not aware of the dangers of CO and do not have a working audible CO alarm. Of 8,000 people surveyed in 2020 45% </w:t>
            </w:r>
            <w:r w:rsidR="000B45B7" w:rsidRPr="00E52F9E">
              <w:rPr>
                <w:rFonts w:cstheme="minorHAnsi"/>
                <w:color w:val="auto"/>
                <w:sz w:val="20"/>
                <w:szCs w:val="20"/>
              </w:rPr>
              <w:t>did not</w:t>
            </w:r>
            <w:r w:rsidRPr="00E52F9E">
              <w:rPr>
                <w:rFonts w:cstheme="minorHAnsi"/>
                <w:color w:val="auto"/>
                <w:sz w:val="20"/>
                <w:szCs w:val="20"/>
              </w:rPr>
              <w:t xml:space="preserve"> know that CO </w:t>
            </w:r>
            <w:r w:rsidR="000B45B7" w:rsidRPr="00E52F9E">
              <w:rPr>
                <w:rFonts w:cstheme="minorHAnsi"/>
                <w:color w:val="auto"/>
                <w:sz w:val="20"/>
                <w:szCs w:val="20"/>
              </w:rPr>
              <w:t>does not</w:t>
            </w:r>
            <w:r w:rsidRPr="00E52F9E">
              <w:rPr>
                <w:rFonts w:cstheme="minorHAnsi"/>
                <w:color w:val="auto"/>
                <w:sz w:val="20"/>
                <w:szCs w:val="20"/>
              </w:rPr>
              <w:t xml:space="preserve"> have a smell, and only 42% had a working audible CO alarm. Lack of awareness about the dangers of and ways in which to prevent harm from CO are a major contributing factor to why </w:t>
            </w:r>
            <w:r w:rsidR="000B45B7" w:rsidRPr="00E52F9E">
              <w:rPr>
                <w:rFonts w:cstheme="minorHAnsi"/>
                <w:color w:val="auto"/>
                <w:sz w:val="20"/>
                <w:szCs w:val="20"/>
              </w:rPr>
              <w:t>we are</w:t>
            </w:r>
            <w:r w:rsidRPr="00E52F9E">
              <w:rPr>
                <w:rFonts w:cstheme="minorHAnsi"/>
                <w:color w:val="auto"/>
                <w:sz w:val="20"/>
                <w:szCs w:val="20"/>
              </w:rPr>
              <w:t xml:space="preserve"> still seeing CO related deaths and harm in a time when safety devices such as CO alarms are cheaper and more accessible than ever.</w:t>
            </w:r>
          </w:p>
          <w:p w14:paraId="0446F3C4" w14:textId="406DE607" w:rsidR="00C33603" w:rsidRPr="00E52F9E" w:rsidRDefault="00C33603" w:rsidP="00CE545A">
            <w:pPr>
              <w:shd w:val="clear" w:color="auto" w:fill="FFFFFF"/>
              <w:spacing w:after="100" w:afterAutospacing="1" w:line="240" w:lineRule="auto"/>
              <w:rPr>
                <w:rFonts w:cstheme="minorHAnsi"/>
                <w:color w:val="auto"/>
                <w:sz w:val="20"/>
                <w:szCs w:val="20"/>
              </w:rPr>
            </w:pPr>
            <w:r w:rsidRPr="00E52F9E">
              <w:rPr>
                <w:rFonts w:cstheme="minorHAnsi"/>
                <w:color w:val="auto"/>
                <w:sz w:val="20"/>
                <w:szCs w:val="20"/>
              </w:rPr>
              <w:t>The IE Hub offers customers direct budgeting and income maximisation through benefit claims and access to support tariffs.</w:t>
            </w:r>
          </w:p>
          <w:p w14:paraId="54A28B68" w14:textId="0C4EA2D2" w:rsidR="00C33603" w:rsidRPr="00E52F9E" w:rsidRDefault="00C33603" w:rsidP="00CE545A">
            <w:pPr>
              <w:shd w:val="clear" w:color="auto" w:fill="FFFFFF"/>
              <w:spacing w:after="100" w:afterAutospacing="1" w:line="240" w:lineRule="auto"/>
              <w:rPr>
                <w:rFonts w:cstheme="minorHAnsi"/>
                <w:color w:val="auto"/>
                <w:sz w:val="20"/>
                <w:szCs w:val="20"/>
              </w:rPr>
            </w:pPr>
            <w:r w:rsidRPr="00E52F9E">
              <w:rPr>
                <w:rFonts w:cstheme="minorHAnsi"/>
                <w:color w:val="auto"/>
                <w:sz w:val="20"/>
                <w:szCs w:val="20"/>
              </w:rPr>
              <w:t>This not only increases income but also decreases the customers financial anxiety.</w:t>
            </w:r>
          </w:p>
          <w:p w14:paraId="0183E7F0" w14:textId="13094171" w:rsidR="00C33603" w:rsidRPr="00E52F9E" w:rsidRDefault="00C33603" w:rsidP="00CE545A">
            <w:pPr>
              <w:shd w:val="clear" w:color="auto" w:fill="FFFFFF"/>
              <w:spacing w:after="100" w:afterAutospacing="1" w:line="240" w:lineRule="auto"/>
              <w:rPr>
                <w:rFonts w:cstheme="minorHAnsi"/>
                <w:color w:val="auto"/>
                <w:sz w:val="20"/>
                <w:szCs w:val="20"/>
              </w:rPr>
            </w:pPr>
            <w:r w:rsidRPr="00E52F9E">
              <w:rPr>
                <w:rFonts w:cstheme="minorHAnsi"/>
                <w:color w:val="auto"/>
                <w:sz w:val="20"/>
                <w:szCs w:val="20"/>
              </w:rPr>
              <w:t>The IE hub is a trusted, ‘free to customer’ online tool which allows them to create and understand their budget</w:t>
            </w:r>
            <w:r w:rsidR="00CF00F6" w:rsidRPr="00E52F9E">
              <w:rPr>
                <w:rFonts w:cstheme="minorHAnsi"/>
                <w:color w:val="auto"/>
                <w:sz w:val="20"/>
                <w:szCs w:val="20"/>
              </w:rPr>
              <w:t>.</w:t>
            </w:r>
          </w:p>
          <w:p w14:paraId="1B5B4120" w14:textId="0D218F34" w:rsidR="00C04013" w:rsidRPr="00E52F9E" w:rsidRDefault="00C04013" w:rsidP="00CE545A">
            <w:pPr>
              <w:shd w:val="clear" w:color="auto" w:fill="FFFFFF"/>
              <w:spacing w:after="100" w:afterAutospacing="1" w:line="240" w:lineRule="auto"/>
              <w:rPr>
                <w:rFonts w:cstheme="minorHAnsi"/>
                <w:color w:val="auto"/>
                <w:sz w:val="20"/>
                <w:szCs w:val="20"/>
              </w:rPr>
            </w:pPr>
          </w:p>
        </w:tc>
      </w:tr>
      <w:tr w:rsidR="003115F2" w:rsidRPr="00E52F9E" w14:paraId="2CEC5A77" w14:textId="77777777" w:rsidTr="00182BE2">
        <w:trPr>
          <w:trHeight w:val="239"/>
        </w:trPr>
        <w:tc>
          <w:tcPr>
            <w:tcW w:w="1476" w:type="pct"/>
          </w:tcPr>
          <w:p w14:paraId="74AF3DFF" w14:textId="53402642" w:rsidR="3149B129" w:rsidRPr="00E52F9E" w:rsidRDefault="3149B129" w:rsidP="173ED2F7">
            <w:pPr>
              <w:pStyle w:val="ChartSubtitle"/>
              <w:rPr>
                <w:rFonts w:cstheme="minorHAnsi"/>
                <w:b/>
                <w:color w:val="auto"/>
                <w:szCs w:val="20"/>
              </w:rPr>
            </w:pPr>
            <w:r w:rsidRPr="00E52F9E">
              <w:rPr>
                <w:rFonts w:cstheme="minorHAnsi"/>
                <w:b/>
                <w:color w:val="auto"/>
                <w:szCs w:val="20"/>
              </w:rPr>
              <w:lastRenderedPageBreak/>
              <w:t>Scope and Objectives</w:t>
            </w:r>
          </w:p>
          <w:p w14:paraId="58E88A66" w14:textId="06FE3488" w:rsidR="173ED2F7" w:rsidRPr="00E52F9E" w:rsidRDefault="173ED2F7" w:rsidP="173ED2F7">
            <w:pPr>
              <w:pStyle w:val="ChartSubtitle"/>
              <w:rPr>
                <w:rFonts w:cstheme="minorHAnsi"/>
                <w:b/>
                <w:color w:val="auto"/>
                <w:szCs w:val="20"/>
              </w:rPr>
            </w:pPr>
          </w:p>
        </w:tc>
        <w:tc>
          <w:tcPr>
            <w:tcW w:w="3524" w:type="pct"/>
          </w:tcPr>
          <w:p w14:paraId="08D664AC" w14:textId="7647F4D4" w:rsidR="00E470C4" w:rsidRPr="00E52F9E" w:rsidRDefault="00D65CB4" w:rsidP="2C10E815">
            <w:pPr>
              <w:pStyle w:val="ChartSubtitle"/>
              <w:rPr>
                <w:rFonts w:cstheme="minorHAnsi"/>
                <w:color w:val="auto"/>
                <w:szCs w:val="20"/>
              </w:rPr>
            </w:pPr>
            <w:r w:rsidRPr="00E52F9E">
              <w:rPr>
                <w:rFonts w:cstheme="minorHAnsi"/>
                <w:color w:val="auto"/>
                <w:szCs w:val="20"/>
              </w:rPr>
              <w:t>The participating GDNs</w:t>
            </w:r>
            <w:r w:rsidR="00E470C4" w:rsidRPr="00E52F9E">
              <w:rPr>
                <w:rFonts w:cstheme="minorHAnsi"/>
                <w:color w:val="auto"/>
                <w:szCs w:val="20"/>
              </w:rPr>
              <w:t xml:space="preserve"> will provide </w:t>
            </w:r>
            <w:r w:rsidR="00C33603" w:rsidRPr="00E52F9E">
              <w:rPr>
                <w:rFonts w:cstheme="minorHAnsi"/>
                <w:color w:val="auto"/>
                <w:szCs w:val="20"/>
              </w:rPr>
              <w:t>IE Hub</w:t>
            </w:r>
            <w:r w:rsidR="00E470C4" w:rsidRPr="00E52F9E">
              <w:rPr>
                <w:rFonts w:cstheme="minorHAnsi"/>
                <w:color w:val="auto"/>
                <w:szCs w:val="20"/>
              </w:rPr>
              <w:t xml:space="preserve"> with VCMA funding to deliver a </w:t>
            </w:r>
            <w:r w:rsidR="000B45B7" w:rsidRPr="00E52F9E">
              <w:rPr>
                <w:rFonts w:cstheme="minorHAnsi"/>
                <w:color w:val="auto"/>
                <w:szCs w:val="20"/>
              </w:rPr>
              <w:t>21-month</w:t>
            </w:r>
            <w:r w:rsidR="00C33603" w:rsidRPr="00E52F9E">
              <w:rPr>
                <w:rFonts w:cstheme="minorHAnsi"/>
                <w:color w:val="auto"/>
                <w:szCs w:val="20"/>
              </w:rPr>
              <w:t xml:space="preserve"> project</w:t>
            </w:r>
            <w:r w:rsidR="00E470C4" w:rsidRPr="00E52F9E">
              <w:rPr>
                <w:rFonts w:cstheme="minorHAnsi"/>
                <w:color w:val="auto"/>
                <w:szCs w:val="20"/>
              </w:rPr>
              <w:t>.</w:t>
            </w:r>
          </w:p>
          <w:p w14:paraId="02C2E29D" w14:textId="77777777" w:rsidR="00E470C4" w:rsidRPr="00E52F9E" w:rsidRDefault="00E470C4" w:rsidP="00E470C4">
            <w:pPr>
              <w:pStyle w:val="ChartSubtitle"/>
              <w:rPr>
                <w:rFonts w:cstheme="minorHAnsi"/>
                <w:color w:val="auto"/>
                <w:szCs w:val="20"/>
              </w:rPr>
            </w:pPr>
          </w:p>
          <w:p w14:paraId="0F5EC997" w14:textId="77777777" w:rsidR="00EB74E6" w:rsidRPr="00E52F9E" w:rsidRDefault="00EB74E6" w:rsidP="00EB74E6">
            <w:pPr>
              <w:pStyle w:val="ChartSubtitle"/>
              <w:rPr>
                <w:rFonts w:cstheme="minorHAnsi"/>
                <w:color w:val="auto"/>
                <w:szCs w:val="20"/>
              </w:rPr>
            </w:pPr>
            <w:r w:rsidRPr="00E52F9E">
              <w:rPr>
                <w:rFonts w:cstheme="minorHAnsi"/>
                <w:color w:val="auto"/>
                <w:szCs w:val="20"/>
              </w:rPr>
              <w:t>The IE Hub project aims to maximise the success of participants identifying and claiming their full entitlement of benefits. This will be achieved by facilitating access to an accessible, expert, online tool – the IE Hub through the following means:</w:t>
            </w:r>
          </w:p>
          <w:p w14:paraId="42686266" w14:textId="77777777" w:rsidR="00EB74E6" w:rsidRPr="00E52F9E" w:rsidRDefault="00EB74E6" w:rsidP="00EB74E6">
            <w:pPr>
              <w:pStyle w:val="ChartSubtitle"/>
              <w:rPr>
                <w:rFonts w:cstheme="minorHAnsi"/>
                <w:color w:val="auto"/>
                <w:szCs w:val="20"/>
              </w:rPr>
            </w:pPr>
          </w:p>
          <w:p w14:paraId="3993B3E7" w14:textId="77777777" w:rsidR="00EB74E6" w:rsidRPr="00E52F9E" w:rsidRDefault="00EB74E6" w:rsidP="00457C96">
            <w:pPr>
              <w:pStyle w:val="ChartSubtitle"/>
              <w:numPr>
                <w:ilvl w:val="0"/>
                <w:numId w:val="32"/>
              </w:numPr>
              <w:rPr>
                <w:rFonts w:cstheme="minorHAnsi"/>
                <w:color w:val="auto"/>
                <w:szCs w:val="20"/>
              </w:rPr>
            </w:pPr>
            <w:r w:rsidRPr="00E52F9E">
              <w:rPr>
                <w:rFonts w:cstheme="minorHAnsi"/>
                <w:color w:val="auto"/>
                <w:szCs w:val="20"/>
              </w:rPr>
              <w:t xml:space="preserve">Income maximisation tool - Using the information shared, the tool will alert the customer to any additional income they may be eligible for based on their situation. This could be benefits, discretionary payments, water &amp; telecoms social tariffs and grants. </w:t>
            </w:r>
          </w:p>
          <w:p w14:paraId="72697E61" w14:textId="77777777" w:rsidR="00EB74E6" w:rsidRPr="00E52F9E" w:rsidRDefault="00EB74E6" w:rsidP="00EB74E6">
            <w:pPr>
              <w:pStyle w:val="ChartSubtitle"/>
              <w:rPr>
                <w:rFonts w:cstheme="minorHAnsi"/>
                <w:color w:val="auto"/>
                <w:szCs w:val="20"/>
              </w:rPr>
            </w:pPr>
          </w:p>
          <w:p w14:paraId="54224ACB" w14:textId="77777777" w:rsidR="00EB74E6" w:rsidRPr="00E52F9E" w:rsidRDefault="00EB74E6" w:rsidP="00457C96">
            <w:pPr>
              <w:pStyle w:val="ChartSubtitle"/>
              <w:numPr>
                <w:ilvl w:val="0"/>
                <w:numId w:val="32"/>
              </w:numPr>
              <w:rPr>
                <w:rFonts w:cstheme="minorHAnsi"/>
                <w:color w:val="auto"/>
                <w:szCs w:val="20"/>
              </w:rPr>
            </w:pPr>
            <w:r w:rsidRPr="00E52F9E">
              <w:rPr>
                <w:rFonts w:cstheme="minorHAnsi"/>
                <w:color w:val="auto"/>
                <w:szCs w:val="20"/>
              </w:rPr>
              <w:t>Signposting to specialised support - IE Hub is designed to be a self-serve tool for those who are digitally included. In instances where a customer feels they could benefit from some further support or advice, a list of organisations who they can contact for specialised support will be provided.</w:t>
            </w:r>
          </w:p>
          <w:p w14:paraId="429C3BD1" w14:textId="77777777" w:rsidR="00EB74E6" w:rsidRPr="00E52F9E" w:rsidRDefault="00EB74E6" w:rsidP="00EB74E6">
            <w:pPr>
              <w:spacing w:line="276" w:lineRule="auto"/>
              <w:rPr>
                <w:rFonts w:cstheme="minorHAnsi"/>
                <w:color w:val="auto"/>
                <w:sz w:val="20"/>
                <w:szCs w:val="20"/>
              </w:rPr>
            </w:pPr>
          </w:p>
          <w:p w14:paraId="7EAF943E" w14:textId="77777777" w:rsidR="00EB74E6" w:rsidRPr="00E52F9E" w:rsidRDefault="00EB74E6" w:rsidP="2C10E815">
            <w:pPr>
              <w:pStyle w:val="ListParagraph"/>
              <w:numPr>
                <w:ilvl w:val="0"/>
                <w:numId w:val="32"/>
              </w:numPr>
              <w:rPr>
                <w:rFonts w:cstheme="minorHAnsi"/>
                <w:color w:val="auto"/>
                <w:sz w:val="20"/>
                <w:szCs w:val="20"/>
              </w:rPr>
            </w:pPr>
            <w:r w:rsidRPr="00E52F9E">
              <w:rPr>
                <w:rFonts w:cstheme="minorHAnsi"/>
                <w:color w:val="auto"/>
                <w:sz w:val="20"/>
                <w:szCs w:val="20"/>
              </w:rPr>
              <w:t>Sharing their budget – Giving customers the ability to choose to share their completed budget, along with any supporting documents to any organisation they are working with. This allows the customer the opportunity to easily share their financial information with several organisations at the same time, evidencing their affordability when negotiating payment arrangements to ensure a sustainable agreement is made. Sharing their information also allows the customer to evidence their eligibility for support from organisations such as energy trust funds.</w:t>
            </w:r>
          </w:p>
          <w:p w14:paraId="046562C4" w14:textId="77777777" w:rsidR="003E0137" w:rsidRPr="00E52F9E" w:rsidRDefault="003E0137" w:rsidP="2C10E815">
            <w:pPr>
              <w:rPr>
                <w:rFonts w:cstheme="minorHAnsi"/>
                <w:color w:val="auto"/>
                <w:sz w:val="20"/>
                <w:szCs w:val="20"/>
              </w:rPr>
            </w:pPr>
          </w:p>
          <w:p w14:paraId="589E7B6E" w14:textId="22DE9AA8" w:rsidR="00EB74E6" w:rsidRPr="00E52F9E" w:rsidRDefault="00EB74E6" w:rsidP="2C10E815">
            <w:pPr>
              <w:pStyle w:val="ChartSubtitle"/>
              <w:numPr>
                <w:ilvl w:val="0"/>
                <w:numId w:val="32"/>
              </w:numPr>
              <w:rPr>
                <w:rFonts w:cstheme="minorHAnsi"/>
                <w:color w:val="auto"/>
                <w:szCs w:val="20"/>
                <w:lang w:eastAsia="en-GB"/>
              </w:rPr>
            </w:pPr>
            <w:r w:rsidRPr="00E52F9E">
              <w:rPr>
                <w:rFonts w:cstheme="minorHAnsi"/>
                <w:color w:val="auto"/>
                <w:szCs w:val="20"/>
                <w:lang w:eastAsia="en-GB"/>
              </w:rPr>
              <w:t xml:space="preserve">Vulnerability declaration - While completing their budget, the customer has the option to record any medical condition, impairment, or circumstance they would like to share with </w:t>
            </w:r>
            <w:r w:rsidR="000B45B7" w:rsidRPr="00E52F9E">
              <w:rPr>
                <w:rFonts w:cstheme="minorHAnsi"/>
                <w:color w:val="auto"/>
                <w:szCs w:val="20"/>
                <w:lang w:eastAsia="en-GB"/>
              </w:rPr>
              <w:t>the organisations with which they are dealing</w:t>
            </w:r>
            <w:r w:rsidRPr="00E52F9E">
              <w:rPr>
                <w:rFonts w:cstheme="minorHAnsi"/>
                <w:color w:val="auto"/>
                <w:szCs w:val="20"/>
                <w:lang w:eastAsia="en-GB"/>
              </w:rPr>
              <w:t>. This allows the organisation receiving the information to adjust their processes based on the information the customer has shared.</w:t>
            </w:r>
            <w:r w:rsidRPr="00E52F9E">
              <w:rPr>
                <w:rFonts w:cstheme="minorHAnsi"/>
                <w:color w:val="auto"/>
                <w:szCs w:val="20"/>
                <w:highlight w:val="yellow"/>
                <w:lang w:eastAsia="en-GB"/>
              </w:rPr>
              <w:t xml:space="preserve"> </w:t>
            </w:r>
          </w:p>
          <w:p w14:paraId="30D70E21" w14:textId="77777777" w:rsidR="00EB74E6" w:rsidRPr="00E52F9E" w:rsidRDefault="00EB74E6" w:rsidP="00EB74E6">
            <w:pPr>
              <w:spacing w:line="276" w:lineRule="auto"/>
              <w:rPr>
                <w:rFonts w:cstheme="minorHAnsi"/>
                <w:color w:val="auto"/>
                <w:sz w:val="20"/>
                <w:szCs w:val="20"/>
              </w:rPr>
            </w:pPr>
          </w:p>
          <w:p w14:paraId="06AB9618" w14:textId="12D08843" w:rsidR="00EB74E6" w:rsidRPr="00E52F9E" w:rsidRDefault="00385C9C" w:rsidP="00E470C4">
            <w:pPr>
              <w:pStyle w:val="ChartSubtitle"/>
              <w:rPr>
                <w:rFonts w:cstheme="minorHAnsi"/>
                <w:color w:val="auto"/>
                <w:szCs w:val="20"/>
              </w:rPr>
            </w:pPr>
            <w:r w:rsidRPr="00E52F9E">
              <w:rPr>
                <w:rFonts w:cstheme="minorHAnsi"/>
                <w:color w:val="auto"/>
                <w:szCs w:val="20"/>
              </w:rPr>
              <w:t>The project will deliver the following:</w:t>
            </w:r>
          </w:p>
          <w:p w14:paraId="06B07CCE" w14:textId="77777777" w:rsidR="00385C9C" w:rsidRPr="00E52F9E" w:rsidRDefault="00385C9C" w:rsidP="00E470C4">
            <w:pPr>
              <w:pStyle w:val="ChartSubtitle"/>
              <w:rPr>
                <w:rFonts w:cstheme="minorHAnsi"/>
                <w:color w:val="auto"/>
                <w:szCs w:val="20"/>
              </w:rPr>
            </w:pPr>
          </w:p>
          <w:p w14:paraId="02FDE5FF" w14:textId="7EC3F843" w:rsidR="00385C9C" w:rsidRPr="00E52F9E" w:rsidRDefault="00385C9C" w:rsidP="2C10E815">
            <w:pPr>
              <w:pStyle w:val="ChartSubtitle"/>
              <w:numPr>
                <w:ilvl w:val="0"/>
                <w:numId w:val="32"/>
              </w:numPr>
              <w:rPr>
                <w:rFonts w:cstheme="minorHAnsi"/>
                <w:color w:val="auto"/>
                <w:szCs w:val="20"/>
              </w:rPr>
            </w:pPr>
            <w:r w:rsidRPr="00E52F9E">
              <w:rPr>
                <w:rFonts w:cstheme="minorHAnsi"/>
                <w:color w:val="auto"/>
                <w:szCs w:val="20"/>
              </w:rPr>
              <w:t xml:space="preserve">Enable support for </w:t>
            </w:r>
            <w:r w:rsidR="009B4FE5" w:rsidRPr="00E52F9E">
              <w:rPr>
                <w:rFonts w:cstheme="minorHAnsi"/>
                <w:color w:val="auto"/>
                <w:szCs w:val="20"/>
              </w:rPr>
              <w:t>c.</w:t>
            </w:r>
            <w:r w:rsidRPr="00E52F9E">
              <w:rPr>
                <w:rFonts w:cstheme="minorHAnsi"/>
                <w:color w:val="auto"/>
                <w:szCs w:val="20"/>
              </w:rPr>
              <w:t xml:space="preserve">136,486 customers across the </w:t>
            </w:r>
            <w:r w:rsidR="005A732B" w:rsidRPr="00E52F9E">
              <w:rPr>
                <w:rFonts w:cstheme="minorHAnsi"/>
                <w:color w:val="auto"/>
                <w:szCs w:val="20"/>
              </w:rPr>
              <w:t>four</w:t>
            </w:r>
            <w:r w:rsidRPr="00E52F9E">
              <w:rPr>
                <w:rFonts w:cstheme="minorHAnsi"/>
                <w:color w:val="auto"/>
                <w:szCs w:val="20"/>
              </w:rPr>
              <w:t xml:space="preserve"> GDNs.</w:t>
            </w:r>
          </w:p>
          <w:p w14:paraId="5DC25086" w14:textId="34B4B24C" w:rsidR="00385C9C" w:rsidRPr="00E52F9E" w:rsidRDefault="00385C9C" w:rsidP="2C10E815">
            <w:pPr>
              <w:pStyle w:val="ChartSubtitle"/>
              <w:numPr>
                <w:ilvl w:val="0"/>
                <w:numId w:val="32"/>
              </w:numPr>
              <w:rPr>
                <w:rFonts w:cstheme="minorHAnsi"/>
                <w:color w:val="auto"/>
                <w:szCs w:val="20"/>
              </w:rPr>
            </w:pPr>
            <w:r w:rsidRPr="00E52F9E">
              <w:rPr>
                <w:rFonts w:cstheme="minorHAnsi"/>
                <w:color w:val="auto"/>
                <w:szCs w:val="20"/>
              </w:rPr>
              <w:t>Social media targeting will deliver bespoke messaging across each region, reaching a minimum of 1.4 million</w:t>
            </w:r>
            <w:r w:rsidR="00457C96" w:rsidRPr="00E52F9E">
              <w:rPr>
                <w:rFonts w:cstheme="minorHAnsi"/>
                <w:color w:val="auto"/>
                <w:szCs w:val="20"/>
              </w:rPr>
              <w:t xml:space="preserve"> (with a retention rate expected of 3% 42,000)</w:t>
            </w:r>
            <w:r w:rsidRPr="00E52F9E">
              <w:rPr>
                <w:rFonts w:cstheme="minorHAnsi"/>
                <w:color w:val="auto"/>
                <w:szCs w:val="20"/>
              </w:rPr>
              <w:t xml:space="preserve"> over the </w:t>
            </w:r>
            <w:r w:rsidR="003E0137" w:rsidRPr="00E52F9E">
              <w:rPr>
                <w:rFonts w:cstheme="minorHAnsi"/>
                <w:color w:val="auto"/>
                <w:szCs w:val="20"/>
              </w:rPr>
              <w:t>lifetime of the project</w:t>
            </w:r>
            <w:r w:rsidRPr="00E52F9E">
              <w:rPr>
                <w:rFonts w:cstheme="minorHAnsi"/>
                <w:color w:val="auto"/>
                <w:szCs w:val="20"/>
              </w:rPr>
              <w:t>.</w:t>
            </w:r>
          </w:p>
          <w:p w14:paraId="56ABE03D" w14:textId="4DFC7530" w:rsidR="00385C9C" w:rsidRPr="00E52F9E" w:rsidRDefault="00385C9C" w:rsidP="2C10E815">
            <w:pPr>
              <w:pStyle w:val="ChartSubtitle"/>
              <w:numPr>
                <w:ilvl w:val="0"/>
                <w:numId w:val="32"/>
              </w:numPr>
              <w:rPr>
                <w:rFonts w:cstheme="minorHAnsi"/>
                <w:color w:val="auto"/>
                <w:szCs w:val="20"/>
              </w:rPr>
            </w:pPr>
            <w:r w:rsidRPr="00E52F9E">
              <w:rPr>
                <w:rFonts w:cstheme="minorHAnsi"/>
                <w:color w:val="auto"/>
                <w:szCs w:val="20"/>
              </w:rPr>
              <w:t xml:space="preserve">This will identify </w:t>
            </w:r>
            <w:r w:rsidR="009B4FE5" w:rsidRPr="00E52F9E">
              <w:rPr>
                <w:rFonts w:cstheme="minorHAnsi"/>
                <w:color w:val="auto"/>
                <w:szCs w:val="20"/>
              </w:rPr>
              <w:t>c.</w:t>
            </w:r>
            <w:r w:rsidRPr="00E52F9E">
              <w:rPr>
                <w:rFonts w:cstheme="minorHAnsi"/>
                <w:color w:val="auto"/>
                <w:szCs w:val="20"/>
              </w:rPr>
              <w:t xml:space="preserve">83,256 customers who are entitled to benefits they are not already </w:t>
            </w:r>
            <w:r w:rsidR="00ED637E" w:rsidRPr="00E52F9E">
              <w:rPr>
                <w:rFonts w:cstheme="minorHAnsi"/>
                <w:color w:val="auto"/>
                <w:szCs w:val="20"/>
              </w:rPr>
              <w:t>in receipt of.</w:t>
            </w:r>
          </w:p>
          <w:p w14:paraId="35AC067F" w14:textId="24BF0EA0" w:rsidR="00385C9C" w:rsidRPr="00E52F9E" w:rsidRDefault="00385C9C" w:rsidP="2C10E815">
            <w:pPr>
              <w:pStyle w:val="ChartSubtitle"/>
              <w:numPr>
                <w:ilvl w:val="0"/>
                <w:numId w:val="32"/>
              </w:numPr>
              <w:rPr>
                <w:rFonts w:cstheme="minorHAnsi"/>
                <w:color w:val="auto"/>
                <w:szCs w:val="20"/>
              </w:rPr>
            </w:pPr>
            <w:r w:rsidRPr="00E52F9E">
              <w:rPr>
                <w:rFonts w:cstheme="minorHAnsi"/>
                <w:color w:val="auto"/>
                <w:szCs w:val="20"/>
              </w:rPr>
              <w:t>It will increase annual income of those accessing the tool by a combined £4</w:t>
            </w:r>
            <w:r w:rsidR="009B4FE5" w:rsidRPr="00E52F9E">
              <w:rPr>
                <w:rFonts w:cstheme="minorHAnsi"/>
                <w:color w:val="auto"/>
                <w:szCs w:val="20"/>
              </w:rPr>
              <w:t>3</w:t>
            </w:r>
            <w:r w:rsidRPr="00E52F9E">
              <w:rPr>
                <w:rFonts w:cstheme="minorHAnsi"/>
                <w:color w:val="auto"/>
                <w:szCs w:val="20"/>
              </w:rPr>
              <w:t>2 million per year.</w:t>
            </w:r>
          </w:p>
          <w:p w14:paraId="681BEA67" w14:textId="77777777" w:rsidR="00385C9C" w:rsidRPr="00E52F9E" w:rsidRDefault="00385C9C" w:rsidP="00385C9C">
            <w:pPr>
              <w:pStyle w:val="ChartSubtitle"/>
              <w:ind w:left="720"/>
              <w:rPr>
                <w:rFonts w:cstheme="minorHAnsi"/>
                <w:color w:val="auto"/>
                <w:szCs w:val="20"/>
              </w:rPr>
            </w:pPr>
          </w:p>
          <w:p w14:paraId="17F3E83C" w14:textId="7CDDDFC4" w:rsidR="00385C9C" w:rsidRPr="00E52F9E" w:rsidRDefault="004649C7" w:rsidP="00385C9C">
            <w:pPr>
              <w:pStyle w:val="ChartSubtitle"/>
              <w:rPr>
                <w:rFonts w:cstheme="minorHAnsi"/>
                <w:color w:val="auto"/>
                <w:szCs w:val="20"/>
              </w:rPr>
            </w:pPr>
            <w:r w:rsidRPr="00E52F9E">
              <w:rPr>
                <w:rFonts w:cstheme="minorHAnsi"/>
                <w:color w:val="auto"/>
                <w:szCs w:val="20"/>
              </w:rPr>
              <w:t xml:space="preserve">The total reach per year </w:t>
            </w:r>
            <w:r w:rsidR="00ED637E" w:rsidRPr="00E52F9E">
              <w:rPr>
                <w:rFonts w:cstheme="minorHAnsi"/>
                <w:color w:val="auto"/>
                <w:szCs w:val="20"/>
              </w:rPr>
              <w:t xml:space="preserve"> </w:t>
            </w:r>
            <w:r w:rsidR="00385C9C" w:rsidRPr="00E52F9E">
              <w:rPr>
                <w:rFonts w:cstheme="minorHAnsi"/>
                <w:color w:val="auto"/>
                <w:szCs w:val="20"/>
              </w:rPr>
              <w:t>for each GDN is show</w:t>
            </w:r>
            <w:r w:rsidRPr="00E52F9E">
              <w:rPr>
                <w:rFonts w:cstheme="minorHAnsi"/>
                <w:color w:val="auto"/>
                <w:szCs w:val="20"/>
              </w:rPr>
              <w:t>n</w:t>
            </w:r>
            <w:r w:rsidR="00385C9C" w:rsidRPr="00E52F9E">
              <w:rPr>
                <w:rFonts w:cstheme="minorHAnsi"/>
                <w:color w:val="auto"/>
                <w:szCs w:val="20"/>
              </w:rPr>
              <w:t xml:space="preserve"> below:</w:t>
            </w:r>
          </w:p>
          <w:p w14:paraId="33D44417" w14:textId="77777777" w:rsidR="004649C7" w:rsidRPr="00E52F9E" w:rsidRDefault="004649C7" w:rsidP="00385C9C">
            <w:pPr>
              <w:pStyle w:val="ChartSubtitle"/>
              <w:rPr>
                <w:rFonts w:cstheme="minorHAnsi"/>
                <w:color w:val="auto"/>
                <w:szCs w:val="20"/>
              </w:rPr>
            </w:pPr>
          </w:p>
          <w:tbl>
            <w:tblPr>
              <w:tblW w:w="4280" w:type="dxa"/>
              <w:tblLayout w:type="fixed"/>
              <w:tblLook w:val="04A0" w:firstRow="1" w:lastRow="0" w:firstColumn="1" w:lastColumn="0" w:noHBand="0" w:noVBand="1"/>
            </w:tblPr>
            <w:tblGrid>
              <w:gridCol w:w="1277"/>
              <w:gridCol w:w="963"/>
              <w:gridCol w:w="1163"/>
              <w:gridCol w:w="877"/>
            </w:tblGrid>
            <w:tr w:rsidR="00293818" w:rsidRPr="00293818" w14:paraId="28174A24" w14:textId="77777777" w:rsidTr="00293818">
              <w:trPr>
                <w:trHeight w:val="285"/>
              </w:trPr>
              <w:tc>
                <w:tcPr>
                  <w:tcW w:w="2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6EC289" w14:textId="77777777" w:rsidR="00293818" w:rsidRPr="00293818" w:rsidRDefault="00293818" w:rsidP="00293818">
                  <w:pPr>
                    <w:spacing w:line="240" w:lineRule="auto"/>
                    <w:jc w:val="center"/>
                    <w:rPr>
                      <w:rFonts w:ascii="Arial" w:eastAsia="Times New Roman" w:hAnsi="Arial" w:cs="Arial"/>
                      <w:color w:val="auto"/>
                      <w:sz w:val="20"/>
                      <w:szCs w:val="20"/>
                      <w:lang w:eastAsia="en-GB"/>
                    </w:rPr>
                  </w:pPr>
                  <w:r w:rsidRPr="00293818">
                    <w:rPr>
                      <w:rFonts w:ascii="Arial" w:eastAsia="Times New Roman" w:hAnsi="Arial" w:cs="Arial"/>
                      <w:color w:val="auto"/>
                      <w:sz w:val="20"/>
                      <w:szCs w:val="20"/>
                      <w:lang w:eastAsia="en-GB"/>
                    </w:rPr>
                    <w:t xml:space="preserve">Year 1 </w:t>
                  </w:r>
                </w:p>
              </w:tc>
              <w:tc>
                <w:tcPr>
                  <w:tcW w:w="20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829D683" w14:textId="77777777" w:rsidR="00293818" w:rsidRPr="00293818" w:rsidRDefault="00293818" w:rsidP="00293818">
                  <w:pPr>
                    <w:spacing w:line="240" w:lineRule="auto"/>
                    <w:jc w:val="center"/>
                    <w:rPr>
                      <w:rFonts w:ascii="Calibri" w:eastAsia="Times New Roman" w:hAnsi="Calibri" w:cs="Calibri"/>
                      <w:color w:val="000000"/>
                      <w:sz w:val="22"/>
                      <w:lang w:eastAsia="en-GB"/>
                    </w:rPr>
                  </w:pPr>
                  <w:r w:rsidRPr="00293818">
                    <w:rPr>
                      <w:rFonts w:ascii="Calibri" w:eastAsia="Times New Roman" w:hAnsi="Calibri" w:cs="Calibri"/>
                      <w:color w:val="000000"/>
                      <w:sz w:val="22"/>
                      <w:lang w:eastAsia="en-GB"/>
                    </w:rPr>
                    <w:t xml:space="preserve">YEAR 2 </w:t>
                  </w:r>
                </w:p>
              </w:tc>
            </w:tr>
            <w:tr w:rsidR="00293818" w:rsidRPr="00293818" w14:paraId="10E12FFB" w14:textId="77777777" w:rsidTr="00293818">
              <w:trPr>
                <w:trHeight w:val="28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208405CC" w14:textId="77777777" w:rsidR="00293818" w:rsidRPr="00293818" w:rsidRDefault="00293818" w:rsidP="00293818">
                  <w:pPr>
                    <w:spacing w:line="240" w:lineRule="auto"/>
                    <w:jc w:val="both"/>
                    <w:rPr>
                      <w:rFonts w:ascii="Arial" w:eastAsia="Times New Roman" w:hAnsi="Arial" w:cs="Arial"/>
                      <w:color w:val="auto"/>
                      <w:sz w:val="20"/>
                      <w:szCs w:val="20"/>
                      <w:lang w:eastAsia="en-GB"/>
                    </w:rPr>
                  </w:pPr>
                  <w:r w:rsidRPr="00293818">
                    <w:rPr>
                      <w:rFonts w:ascii="Arial" w:eastAsia="Times New Roman" w:hAnsi="Arial" w:cs="Arial"/>
                      <w:color w:val="auto"/>
                      <w:sz w:val="20"/>
                      <w:szCs w:val="20"/>
                      <w:lang w:eastAsia="en-GB"/>
                    </w:rPr>
                    <w:t>CADENT</w:t>
                  </w:r>
                </w:p>
              </w:tc>
              <w:tc>
                <w:tcPr>
                  <w:tcW w:w="963" w:type="dxa"/>
                  <w:tcBorders>
                    <w:top w:val="nil"/>
                    <w:left w:val="nil"/>
                    <w:bottom w:val="single" w:sz="4" w:space="0" w:color="auto"/>
                    <w:right w:val="single" w:sz="4" w:space="0" w:color="auto"/>
                  </w:tcBorders>
                  <w:shd w:val="clear" w:color="auto" w:fill="auto"/>
                  <w:noWrap/>
                  <w:vAlign w:val="bottom"/>
                  <w:hideMark/>
                </w:tcPr>
                <w:p w14:paraId="03DF17DD" w14:textId="77777777" w:rsidR="00293818" w:rsidRPr="00293818" w:rsidRDefault="00293818" w:rsidP="00293818">
                  <w:pPr>
                    <w:spacing w:line="240" w:lineRule="auto"/>
                    <w:jc w:val="right"/>
                    <w:rPr>
                      <w:rFonts w:ascii="Calibri" w:eastAsia="Times New Roman" w:hAnsi="Calibri" w:cs="Calibri"/>
                      <w:color w:val="000000"/>
                      <w:sz w:val="22"/>
                      <w:lang w:eastAsia="en-GB"/>
                    </w:rPr>
                  </w:pPr>
                  <w:r w:rsidRPr="00293818">
                    <w:rPr>
                      <w:rFonts w:ascii="Calibri" w:eastAsia="Times New Roman" w:hAnsi="Calibri" w:cs="Calibri"/>
                      <w:color w:val="000000"/>
                      <w:sz w:val="22"/>
                      <w:lang w:eastAsia="en-GB"/>
                    </w:rPr>
                    <w:t>17,032</w:t>
                  </w:r>
                </w:p>
              </w:tc>
              <w:tc>
                <w:tcPr>
                  <w:tcW w:w="1163" w:type="dxa"/>
                  <w:tcBorders>
                    <w:top w:val="nil"/>
                    <w:left w:val="nil"/>
                    <w:bottom w:val="single" w:sz="4" w:space="0" w:color="auto"/>
                    <w:right w:val="single" w:sz="4" w:space="0" w:color="auto"/>
                  </w:tcBorders>
                  <w:shd w:val="clear" w:color="auto" w:fill="auto"/>
                  <w:noWrap/>
                  <w:vAlign w:val="center"/>
                  <w:hideMark/>
                </w:tcPr>
                <w:p w14:paraId="20A327F8" w14:textId="77777777" w:rsidR="00293818" w:rsidRPr="00293818" w:rsidRDefault="00293818" w:rsidP="00293818">
                  <w:pPr>
                    <w:spacing w:line="240" w:lineRule="auto"/>
                    <w:jc w:val="both"/>
                    <w:rPr>
                      <w:rFonts w:ascii="Arial" w:eastAsia="Times New Roman" w:hAnsi="Arial" w:cs="Arial"/>
                      <w:color w:val="auto"/>
                      <w:sz w:val="20"/>
                      <w:szCs w:val="20"/>
                      <w:lang w:eastAsia="en-GB"/>
                    </w:rPr>
                  </w:pPr>
                  <w:r w:rsidRPr="00293818">
                    <w:rPr>
                      <w:rFonts w:ascii="Arial" w:eastAsia="Times New Roman" w:hAnsi="Arial" w:cs="Arial"/>
                      <w:color w:val="auto"/>
                      <w:sz w:val="20"/>
                      <w:szCs w:val="20"/>
                      <w:lang w:eastAsia="en-GB"/>
                    </w:rPr>
                    <w:t>CADENT</w:t>
                  </w:r>
                </w:p>
              </w:tc>
              <w:tc>
                <w:tcPr>
                  <w:tcW w:w="877" w:type="dxa"/>
                  <w:tcBorders>
                    <w:top w:val="nil"/>
                    <w:left w:val="nil"/>
                    <w:bottom w:val="single" w:sz="4" w:space="0" w:color="auto"/>
                    <w:right w:val="single" w:sz="4" w:space="0" w:color="auto"/>
                  </w:tcBorders>
                  <w:shd w:val="clear" w:color="auto" w:fill="auto"/>
                  <w:noWrap/>
                  <w:vAlign w:val="bottom"/>
                  <w:hideMark/>
                </w:tcPr>
                <w:p w14:paraId="2E410ECA" w14:textId="77777777" w:rsidR="00293818" w:rsidRPr="00293818" w:rsidRDefault="00293818" w:rsidP="00293818">
                  <w:pPr>
                    <w:spacing w:line="240" w:lineRule="auto"/>
                    <w:jc w:val="right"/>
                    <w:rPr>
                      <w:rFonts w:ascii="Calibri" w:eastAsia="Times New Roman" w:hAnsi="Calibri" w:cs="Calibri"/>
                      <w:color w:val="000000"/>
                      <w:sz w:val="22"/>
                      <w:lang w:eastAsia="en-GB"/>
                    </w:rPr>
                  </w:pPr>
                  <w:r w:rsidRPr="00293818">
                    <w:rPr>
                      <w:rFonts w:ascii="Calibri" w:eastAsia="Times New Roman" w:hAnsi="Calibri" w:cs="Calibri"/>
                      <w:color w:val="000000"/>
                      <w:sz w:val="22"/>
                      <w:lang w:eastAsia="en-GB"/>
                    </w:rPr>
                    <w:t>50,871</w:t>
                  </w:r>
                </w:p>
              </w:tc>
            </w:tr>
            <w:tr w:rsidR="00293818" w:rsidRPr="00293818" w14:paraId="3AB7CB53" w14:textId="77777777" w:rsidTr="00293818">
              <w:trPr>
                <w:trHeight w:val="28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29FA666F" w14:textId="77777777" w:rsidR="00293818" w:rsidRPr="00293818" w:rsidRDefault="00293818" w:rsidP="00293818">
                  <w:pPr>
                    <w:spacing w:line="240" w:lineRule="auto"/>
                    <w:jc w:val="both"/>
                    <w:rPr>
                      <w:rFonts w:ascii="Arial" w:eastAsia="Times New Roman" w:hAnsi="Arial" w:cs="Arial"/>
                      <w:color w:val="auto"/>
                      <w:sz w:val="20"/>
                      <w:szCs w:val="20"/>
                      <w:lang w:eastAsia="en-GB"/>
                    </w:rPr>
                  </w:pPr>
                  <w:r w:rsidRPr="00293818">
                    <w:rPr>
                      <w:rFonts w:ascii="Arial" w:eastAsia="Times New Roman" w:hAnsi="Arial" w:cs="Arial"/>
                      <w:color w:val="auto"/>
                      <w:sz w:val="20"/>
                      <w:szCs w:val="20"/>
                      <w:lang w:eastAsia="en-GB"/>
                    </w:rPr>
                    <w:t>NGN</w:t>
                  </w:r>
                </w:p>
              </w:tc>
              <w:tc>
                <w:tcPr>
                  <w:tcW w:w="963" w:type="dxa"/>
                  <w:tcBorders>
                    <w:top w:val="nil"/>
                    <w:left w:val="nil"/>
                    <w:bottom w:val="single" w:sz="4" w:space="0" w:color="auto"/>
                    <w:right w:val="single" w:sz="4" w:space="0" w:color="auto"/>
                  </w:tcBorders>
                  <w:shd w:val="clear" w:color="auto" w:fill="auto"/>
                  <w:noWrap/>
                  <w:vAlign w:val="bottom"/>
                  <w:hideMark/>
                </w:tcPr>
                <w:p w14:paraId="06387749" w14:textId="77777777" w:rsidR="00293818" w:rsidRPr="00293818" w:rsidRDefault="00293818" w:rsidP="00293818">
                  <w:pPr>
                    <w:spacing w:line="240" w:lineRule="auto"/>
                    <w:jc w:val="right"/>
                    <w:rPr>
                      <w:rFonts w:ascii="Calibri" w:eastAsia="Times New Roman" w:hAnsi="Calibri" w:cs="Calibri"/>
                      <w:color w:val="000000"/>
                      <w:sz w:val="22"/>
                      <w:lang w:eastAsia="en-GB"/>
                    </w:rPr>
                  </w:pPr>
                  <w:r w:rsidRPr="00293818">
                    <w:rPr>
                      <w:rFonts w:ascii="Calibri" w:eastAsia="Times New Roman" w:hAnsi="Calibri" w:cs="Calibri"/>
                      <w:color w:val="000000"/>
                      <w:sz w:val="22"/>
                      <w:lang w:eastAsia="en-GB"/>
                    </w:rPr>
                    <w:t>3,967</w:t>
                  </w:r>
                </w:p>
              </w:tc>
              <w:tc>
                <w:tcPr>
                  <w:tcW w:w="1163" w:type="dxa"/>
                  <w:tcBorders>
                    <w:top w:val="nil"/>
                    <w:left w:val="nil"/>
                    <w:bottom w:val="single" w:sz="4" w:space="0" w:color="auto"/>
                    <w:right w:val="single" w:sz="4" w:space="0" w:color="auto"/>
                  </w:tcBorders>
                  <w:shd w:val="clear" w:color="auto" w:fill="auto"/>
                  <w:noWrap/>
                  <w:vAlign w:val="center"/>
                  <w:hideMark/>
                </w:tcPr>
                <w:p w14:paraId="3F44DF85" w14:textId="77777777" w:rsidR="00293818" w:rsidRPr="00293818" w:rsidRDefault="00293818" w:rsidP="00293818">
                  <w:pPr>
                    <w:spacing w:line="240" w:lineRule="auto"/>
                    <w:jc w:val="both"/>
                    <w:rPr>
                      <w:rFonts w:ascii="Arial" w:eastAsia="Times New Roman" w:hAnsi="Arial" w:cs="Arial"/>
                      <w:color w:val="auto"/>
                      <w:sz w:val="20"/>
                      <w:szCs w:val="20"/>
                      <w:lang w:eastAsia="en-GB"/>
                    </w:rPr>
                  </w:pPr>
                  <w:r w:rsidRPr="00293818">
                    <w:rPr>
                      <w:rFonts w:ascii="Arial" w:eastAsia="Times New Roman" w:hAnsi="Arial" w:cs="Arial"/>
                      <w:color w:val="auto"/>
                      <w:sz w:val="20"/>
                      <w:szCs w:val="20"/>
                      <w:lang w:eastAsia="en-GB"/>
                    </w:rPr>
                    <w:t>NGN</w:t>
                  </w:r>
                </w:p>
              </w:tc>
              <w:tc>
                <w:tcPr>
                  <w:tcW w:w="877" w:type="dxa"/>
                  <w:tcBorders>
                    <w:top w:val="nil"/>
                    <w:left w:val="nil"/>
                    <w:bottom w:val="single" w:sz="4" w:space="0" w:color="auto"/>
                    <w:right w:val="single" w:sz="4" w:space="0" w:color="auto"/>
                  </w:tcBorders>
                  <w:shd w:val="clear" w:color="auto" w:fill="auto"/>
                  <w:noWrap/>
                  <w:vAlign w:val="bottom"/>
                  <w:hideMark/>
                </w:tcPr>
                <w:p w14:paraId="503FCD67" w14:textId="77777777" w:rsidR="00293818" w:rsidRPr="00293818" w:rsidRDefault="00293818" w:rsidP="00293818">
                  <w:pPr>
                    <w:spacing w:line="240" w:lineRule="auto"/>
                    <w:jc w:val="right"/>
                    <w:rPr>
                      <w:rFonts w:ascii="Calibri" w:eastAsia="Times New Roman" w:hAnsi="Calibri" w:cs="Calibri"/>
                      <w:color w:val="000000"/>
                      <w:sz w:val="22"/>
                      <w:lang w:eastAsia="en-GB"/>
                    </w:rPr>
                  </w:pPr>
                  <w:r w:rsidRPr="00293818">
                    <w:rPr>
                      <w:rFonts w:ascii="Calibri" w:eastAsia="Times New Roman" w:hAnsi="Calibri" w:cs="Calibri"/>
                      <w:color w:val="000000"/>
                      <w:sz w:val="22"/>
                      <w:lang w:eastAsia="en-GB"/>
                    </w:rPr>
                    <w:t>11,849</w:t>
                  </w:r>
                </w:p>
              </w:tc>
            </w:tr>
            <w:tr w:rsidR="00293818" w:rsidRPr="00293818" w14:paraId="2F57C3A8" w14:textId="77777777" w:rsidTr="00293818">
              <w:trPr>
                <w:trHeight w:val="28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38000000" w14:textId="77777777" w:rsidR="00293818" w:rsidRPr="00293818" w:rsidRDefault="00293818" w:rsidP="00293818">
                  <w:pPr>
                    <w:spacing w:line="240" w:lineRule="auto"/>
                    <w:jc w:val="both"/>
                    <w:rPr>
                      <w:rFonts w:ascii="Arial" w:eastAsia="Times New Roman" w:hAnsi="Arial" w:cs="Arial"/>
                      <w:color w:val="auto"/>
                      <w:sz w:val="20"/>
                      <w:szCs w:val="20"/>
                      <w:lang w:eastAsia="en-GB"/>
                    </w:rPr>
                  </w:pPr>
                  <w:r w:rsidRPr="00293818">
                    <w:rPr>
                      <w:rFonts w:ascii="Arial" w:eastAsia="Times New Roman" w:hAnsi="Arial" w:cs="Arial"/>
                      <w:color w:val="auto"/>
                      <w:sz w:val="20"/>
                      <w:szCs w:val="20"/>
                      <w:lang w:eastAsia="en-GB"/>
                    </w:rPr>
                    <w:t>SGN</w:t>
                  </w:r>
                </w:p>
              </w:tc>
              <w:tc>
                <w:tcPr>
                  <w:tcW w:w="963" w:type="dxa"/>
                  <w:tcBorders>
                    <w:top w:val="nil"/>
                    <w:left w:val="nil"/>
                    <w:bottom w:val="single" w:sz="4" w:space="0" w:color="auto"/>
                    <w:right w:val="single" w:sz="4" w:space="0" w:color="auto"/>
                  </w:tcBorders>
                  <w:shd w:val="clear" w:color="auto" w:fill="auto"/>
                  <w:noWrap/>
                  <w:vAlign w:val="bottom"/>
                  <w:hideMark/>
                </w:tcPr>
                <w:p w14:paraId="730CD976" w14:textId="77777777" w:rsidR="00293818" w:rsidRPr="00293818" w:rsidRDefault="00293818" w:rsidP="00293818">
                  <w:pPr>
                    <w:spacing w:line="240" w:lineRule="auto"/>
                    <w:jc w:val="right"/>
                    <w:rPr>
                      <w:rFonts w:ascii="Calibri" w:eastAsia="Times New Roman" w:hAnsi="Calibri" w:cs="Calibri"/>
                      <w:color w:val="000000"/>
                      <w:sz w:val="22"/>
                      <w:lang w:eastAsia="en-GB"/>
                    </w:rPr>
                  </w:pPr>
                  <w:r w:rsidRPr="00293818">
                    <w:rPr>
                      <w:rFonts w:ascii="Calibri" w:eastAsia="Times New Roman" w:hAnsi="Calibri" w:cs="Calibri"/>
                      <w:color w:val="000000"/>
                      <w:sz w:val="22"/>
                      <w:lang w:eastAsia="en-GB"/>
                    </w:rPr>
                    <w:t>9,268</w:t>
                  </w:r>
                </w:p>
              </w:tc>
              <w:tc>
                <w:tcPr>
                  <w:tcW w:w="1163" w:type="dxa"/>
                  <w:tcBorders>
                    <w:top w:val="nil"/>
                    <w:left w:val="nil"/>
                    <w:bottom w:val="single" w:sz="4" w:space="0" w:color="auto"/>
                    <w:right w:val="single" w:sz="4" w:space="0" w:color="auto"/>
                  </w:tcBorders>
                  <w:shd w:val="clear" w:color="auto" w:fill="auto"/>
                  <w:noWrap/>
                  <w:vAlign w:val="center"/>
                  <w:hideMark/>
                </w:tcPr>
                <w:p w14:paraId="4EFF7F6C" w14:textId="77777777" w:rsidR="00293818" w:rsidRPr="00293818" w:rsidRDefault="00293818" w:rsidP="00293818">
                  <w:pPr>
                    <w:spacing w:line="240" w:lineRule="auto"/>
                    <w:jc w:val="both"/>
                    <w:rPr>
                      <w:rFonts w:ascii="Arial" w:eastAsia="Times New Roman" w:hAnsi="Arial" w:cs="Arial"/>
                      <w:color w:val="auto"/>
                      <w:sz w:val="20"/>
                      <w:szCs w:val="20"/>
                      <w:lang w:eastAsia="en-GB"/>
                    </w:rPr>
                  </w:pPr>
                  <w:r w:rsidRPr="00293818">
                    <w:rPr>
                      <w:rFonts w:ascii="Arial" w:eastAsia="Times New Roman" w:hAnsi="Arial" w:cs="Arial"/>
                      <w:color w:val="auto"/>
                      <w:sz w:val="20"/>
                      <w:szCs w:val="20"/>
                      <w:lang w:eastAsia="en-GB"/>
                    </w:rPr>
                    <w:t>SGN</w:t>
                  </w:r>
                </w:p>
              </w:tc>
              <w:tc>
                <w:tcPr>
                  <w:tcW w:w="877" w:type="dxa"/>
                  <w:tcBorders>
                    <w:top w:val="nil"/>
                    <w:left w:val="nil"/>
                    <w:bottom w:val="single" w:sz="4" w:space="0" w:color="auto"/>
                    <w:right w:val="single" w:sz="4" w:space="0" w:color="auto"/>
                  </w:tcBorders>
                  <w:shd w:val="clear" w:color="auto" w:fill="auto"/>
                  <w:noWrap/>
                  <w:vAlign w:val="bottom"/>
                  <w:hideMark/>
                </w:tcPr>
                <w:p w14:paraId="3AC8404E" w14:textId="77777777" w:rsidR="00293818" w:rsidRPr="00293818" w:rsidRDefault="00293818" w:rsidP="00293818">
                  <w:pPr>
                    <w:spacing w:line="240" w:lineRule="auto"/>
                    <w:jc w:val="right"/>
                    <w:rPr>
                      <w:rFonts w:ascii="Calibri" w:eastAsia="Times New Roman" w:hAnsi="Calibri" w:cs="Calibri"/>
                      <w:color w:val="000000"/>
                      <w:sz w:val="22"/>
                      <w:lang w:eastAsia="en-GB"/>
                    </w:rPr>
                  </w:pPr>
                  <w:r w:rsidRPr="00293818">
                    <w:rPr>
                      <w:rFonts w:ascii="Calibri" w:eastAsia="Times New Roman" w:hAnsi="Calibri" w:cs="Calibri"/>
                      <w:color w:val="000000"/>
                      <w:sz w:val="22"/>
                      <w:lang w:eastAsia="en-GB"/>
                    </w:rPr>
                    <w:t>27,683</w:t>
                  </w:r>
                </w:p>
              </w:tc>
            </w:tr>
            <w:tr w:rsidR="00293818" w:rsidRPr="00293818" w14:paraId="66F06FCD" w14:textId="77777777" w:rsidTr="00293818">
              <w:trPr>
                <w:trHeight w:val="285"/>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54F9DD45" w14:textId="77777777" w:rsidR="00293818" w:rsidRPr="00293818" w:rsidRDefault="00293818" w:rsidP="00293818">
                  <w:pPr>
                    <w:spacing w:line="240" w:lineRule="auto"/>
                    <w:jc w:val="both"/>
                    <w:rPr>
                      <w:rFonts w:ascii="Arial" w:eastAsia="Times New Roman" w:hAnsi="Arial" w:cs="Arial"/>
                      <w:color w:val="auto"/>
                      <w:sz w:val="20"/>
                      <w:szCs w:val="20"/>
                      <w:lang w:eastAsia="en-GB"/>
                    </w:rPr>
                  </w:pPr>
                  <w:r w:rsidRPr="00293818">
                    <w:rPr>
                      <w:rFonts w:ascii="Arial" w:eastAsia="Times New Roman" w:hAnsi="Arial" w:cs="Arial"/>
                      <w:color w:val="auto"/>
                      <w:sz w:val="20"/>
                      <w:szCs w:val="20"/>
                      <w:lang w:eastAsia="en-GB"/>
                    </w:rPr>
                    <w:t>WWU</w:t>
                  </w:r>
                </w:p>
              </w:tc>
              <w:tc>
                <w:tcPr>
                  <w:tcW w:w="963" w:type="dxa"/>
                  <w:tcBorders>
                    <w:top w:val="nil"/>
                    <w:left w:val="nil"/>
                    <w:bottom w:val="single" w:sz="4" w:space="0" w:color="auto"/>
                    <w:right w:val="single" w:sz="4" w:space="0" w:color="auto"/>
                  </w:tcBorders>
                  <w:shd w:val="clear" w:color="auto" w:fill="auto"/>
                  <w:noWrap/>
                  <w:vAlign w:val="bottom"/>
                  <w:hideMark/>
                </w:tcPr>
                <w:p w14:paraId="10AA86B9" w14:textId="77777777" w:rsidR="00293818" w:rsidRPr="00293818" w:rsidRDefault="00293818" w:rsidP="00293818">
                  <w:pPr>
                    <w:spacing w:line="240" w:lineRule="auto"/>
                    <w:jc w:val="right"/>
                    <w:rPr>
                      <w:rFonts w:ascii="Calibri" w:eastAsia="Times New Roman" w:hAnsi="Calibri" w:cs="Calibri"/>
                      <w:color w:val="000000"/>
                      <w:sz w:val="22"/>
                      <w:lang w:eastAsia="en-GB"/>
                    </w:rPr>
                  </w:pPr>
                  <w:r w:rsidRPr="00293818">
                    <w:rPr>
                      <w:rFonts w:ascii="Calibri" w:eastAsia="Times New Roman" w:hAnsi="Calibri" w:cs="Calibri"/>
                      <w:color w:val="000000"/>
                      <w:sz w:val="22"/>
                      <w:lang w:eastAsia="en-GB"/>
                    </w:rPr>
                    <w:t>3,967</w:t>
                  </w:r>
                </w:p>
              </w:tc>
              <w:tc>
                <w:tcPr>
                  <w:tcW w:w="1163" w:type="dxa"/>
                  <w:tcBorders>
                    <w:top w:val="nil"/>
                    <w:left w:val="nil"/>
                    <w:bottom w:val="single" w:sz="4" w:space="0" w:color="auto"/>
                    <w:right w:val="single" w:sz="4" w:space="0" w:color="auto"/>
                  </w:tcBorders>
                  <w:shd w:val="clear" w:color="auto" w:fill="auto"/>
                  <w:noWrap/>
                  <w:vAlign w:val="center"/>
                  <w:hideMark/>
                </w:tcPr>
                <w:p w14:paraId="78FF14D6" w14:textId="77777777" w:rsidR="00293818" w:rsidRPr="00293818" w:rsidRDefault="00293818" w:rsidP="00293818">
                  <w:pPr>
                    <w:spacing w:line="240" w:lineRule="auto"/>
                    <w:jc w:val="both"/>
                    <w:rPr>
                      <w:rFonts w:ascii="Arial" w:eastAsia="Times New Roman" w:hAnsi="Arial" w:cs="Arial"/>
                      <w:color w:val="auto"/>
                      <w:sz w:val="20"/>
                      <w:szCs w:val="20"/>
                      <w:lang w:eastAsia="en-GB"/>
                    </w:rPr>
                  </w:pPr>
                  <w:r w:rsidRPr="00293818">
                    <w:rPr>
                      <w:rFonts w:ascii="Arial" w:eastAsia="Times New Roman" w:hAnsi="Arial" w:cs="Arial"/>
                      <w:color w:val="auto"/>
                      <w:sz w:val="20"/>
                      <w:szCs w:val="20"/>
                      <w:lang w:eastAsia="en-GB"/>
                    </w:rPr>
                    <w:t>WWU</w:t>
                  </w:r>
                </w:p>
              </w:tc>
              <w:tc>
                <w:tcPr>
                  <w:tcW w:w="877" w:type="dxa"/>
                  <w:tcBorders>
                    <w:top w:val="nil"/>
                    <w:left w:val="nil"/>
                    <w:bottom w:val="single" w:sz="4" w:space="0" w:color="auto"/>
                    <w:right w:val="single" w:sz="4" w:space="0" w:color="auto"/>
                  </w:tcBorders>
                  <w:shd w:val="clear" w:color="auto" w:fill="auto"/>
                  <w:noWrap/>
                  <w:vAlign w:val="bottom"/>
                  <w:hideMark/>
                </w:tcPr>
                <w:p w14:paraId="6CCF4755" w14:textId="77777777" w:rsidR="00293818" w:rsidRPr="00293818" w:rsidRDefault="00293818" w:rsidP="00293818">
                  <w:pPr>
                    <w:spacing w:line="240" w:lineRule="auto"/>
                    <w:jc w:val="right"/>
                    <w:rPr>
                      <w:rFonts w:ascii="Calibri" w:eastAsia="Times New Roman" w:hAnsi="Calibri" w:cs="Calibri"/>
                      <w:color w:val="000000"/>
                      <w:sz w:val="22"/>
                      <w:lang w:eastAsia="en-GB"/>
                    </w:rPr>
                  </w:pPr>
                  <w:r w:rsidRPr="00293818">
                    <w:rPr>
                      <w:rFonts w:ascii="Calibri" w:eastAsia="Times New Roman" w:hAnsi="Calibri" w:cs="Calibri"/>
                      <w:color w:val="000000"/>
                      <w:sz w:val="22"/>
                      <w:lang w:eastAsia="en-GB"/>
                    </w:rPr>
                    <w:t>11,849</w:t>
                  </w:r>
                </w:p>
              </w:tc>
            </w:tr>
          </w:tbl>
          <w:p w14:paraId="1C8875CF" w14:textId="77777777" w:rsidR="00870F8C" w:rsidRDefault="00870F8C" w:rsidP="00EB74E6">
            <w:pPr>
              <w:pStyle w:val="ChartSubtitle"/>
              <w:rPr>
                <w:rFonts w:cstheme="minorHAnsi"/>
                <w:color w:val="auto"/>
                <w:szCs w:val="20"/>
              </w:rPr>
            </w:pPr>
          </w:p>
          <w:p w14:paraId="55656EFA" w14:textId="77777777" w:rsidR="00293818" w:rsidRPr="00E52F9E" w:rsidRDefault="00293818" w:rsidP="00EB74E6">
            <w:pPr>
              <w:pStyle w:val="ChartSubtitle"/>
              <w:rPr>
                <w:rFonts w:cstheme="minorHAnsi"/>
                <w:color w:val="auto"/>
                <w:szCs w:val="20"/>
              </w:rPr>
            </w:pPr>
          </w:p>
          <w:p w14:paraId="28C77F12" w14:textId="37347297" w:rsidR="00385C9C" w:rsidRPr="00E52F9E" w:rsidRDefault="00647CD1" w:rsidP="00EB74E6">
            <w:pPr>
              <w:pStyle w:val="ChartSubtitle"/>
              <w:rPr>
                <w:rFonts w:cstheme="minorHAnsi"/>
                <w:color w:val="auto"/>
                <w:szCs w:val="20"/>
                <w:u w:val="single"/>
              </w:rPr>
            </w:pPr>
            <w:r w:rsidRPr="00E52F9E">
              <w:rPr>
                <w:rFonts w:cstheme="minorHAnsi"/>
                <w:color w:val="auto"/>
                <w:szCs w:val="20"/>
                <w:u w:val="single"/>
              </w:rPr>
              <w:t>Project objectives</w:t>
            </w:r>
          </w:p>
          <w:p w14:paraId="4C5C5481" w14:textId="77777777" w:rsidR="00385C9C" w:rsidRPr="00E52F9E" w:rsidRDefault="00385C9C" w:rsidP="00EB74E6">
            <w:pPr>
              <w:pStyle w:val="ChartSubtitle"/>
              <w:rPr>
                <w:rFonts w:cstheme="minorHAnsi"/>
                <w:color w:val="auto"/>
                <w:szCs w:val="20"/>
              </w:rPr>
            </w:pPr>
          </w:p>
          <w:p w14:paraId="56ACD2CC" w14:textId="20709C0D" w:rsidR="00647CD1" w:rsidRPr="00E52F9E" w:rsidRDefault="00647CD1" w:rsidP="00EB74E6">
            <w:pPr>
              <w:pStyle w:val="ChartSubtitle"/>
              <w:rPr>
                <w:rFonts w:cstheme="minorHAnsi"/>
                <w:color w:val="auto"/>
                <w:szCs w:val="20"/>
              </w:rPr>
            </w:pPr>
            <w:r w:rsidRPr="00E52F9E">
              <w:rPr>
                <w:rFonts w:cstheme="minorHAnsi"/>
                <w:color w:val="auto"/>
                <w:szCs w:val="20"/>
              </w:rPr>
              <w:t xml:space="preserve">The success of the collaborative project will be assessed by the </w:t>
            </w:r>
            <w:r w:rsidR="00115451" w:rsidRPr="00E52F9E">
              <w:rPr>
                <w:rFonts w:cstheme="minorHAnsi"/>
                <w:color w:val="auto"/>
                <w:szCs w:val="20"/>
              </w:rPr>
              <w:t>achievement</w:t>
            </w:r>
            <w:r w:rsidRPr="00E52F9E">
              <w:rPr>
                <w:rFonts w:cstheme="minorHAnsi"/>
                <w:color w:val="auto"/>
                <w:szCs w:val="20"/>
              </w:rPr>
              <w:t xml:space="preserve"> of the following objectives:</w:t>
            </w:r>
          </w:p>
          <w:p w14:paraId="118D15FA" w14:textId="77777777" w:rsidR="00647CD1" w:rsidRPr="00E52F9E" w:rsidRDefault="00647CD1" w:rsidP="00EB74E6">
            <w:pPr>
              <w:pStyle w:val="ChartSubtitle"/>
              <w:rPr>
                <w:rFonts w:cstheme="minorHAnsi"/>
                <w:color w:val="auto"/>
                <w:szCs w:val="20"/>
              </w:rPr>
            </w:pPr>
          </w:p>
          <w:p w14:paraId="0A17C5C0" w14:textId="0B39C2DA" w:rsidR="00457C96" w:rsidRPr="00E52F9E" w:rsidRDefault="00457C96" w:rsidP="00457C96">
            <w:pPr>
              <w:pStyle w:val="ChartSubtitle"/>
              <w:numPr>
                <w:ilvl w:val="0"/>
                <w:numId w:val="32"/>
              </w:numPr>
              <w:spacing w:line="240" w:lineRule="auto"/>
              <w:jc w:val="both"/>
              <w:rPr>
                <w:rFonts w:cstheme="minorHAnsi"/>
                <w:color w:val="auto"/>
                <w:szCs w:val="20"/>
              </w:rPr>
            </w:pPr>
            <w:r w:rsidRPr="00E52F9E">
              <w:rPr>
                <w:rFonts w:cstheme="minorHAnsi"/>
                <w:color w:val="auto"/>
                <w:szCs w:val="20"/>
              </w:rPr>
              <w:t>Estimated that 1.4m customers will be reached (with a retention rate expected of 3%) through the email campaign and social media campaign.</w:t>
            </w:r>
          </w:p>
          <w:p w14:paraId="195C719F" w14:textId="55B0A713" w:rsidR="009D773F" w:rsidRPr="00E52F9E" w:rsidRDefault="009D773F" w:rsidP="00293818">
            <w:pPr>
              <w:pStyle w:val="ChartSubtitle"/>
              <w:rPr>
                <w:rFonts w:cstheme="minorHAnsi"/>
                <w:color w:val="auto"/>
                <w:szCs w:val="20"/>
              </w:rPr>
            </w:pPr>
          </w:p>
          <w:p w14:paraId="09DD7628" w14:textId="6E76EBEF" w:rsidR="00385C9C" w:rsidRDefault="00457C96" w:rsidP="2C10E815">
            <w:pPr>
              <w:pStyle w:val="ChartSubtitle"/>
              <w:numPr>
                <w:ilvl w:val="0"/>
                <w:numId w:val="32"/>
              </w:numPr>
              <w:rPr>
                <w:rFonts w:cstheme="minorHAnsi"/>
                <w:color w:val="auto"/>
                <w:szCs w:val="20"/>
              </w:rPr>
            </w:pPr>
            <w:r w:rsidRPr="00E52F9E">
              <w:rPr>
                <w:rFonts w:cstheme="minorHAnsi"/>
                <w:color w:val="auto"/>
                <w:szCs w:val="20"/>
              </w:rPr>
              <w:t xml:space="preserve">Estimated that </w:t>
            </w:r>
            <w:r w:rsidR="009D773F" w:rsidRPr="00E52F9E">
              <w:rPr>
                <w:rFonts w:cstheme="minorHAnsi"/>
                <w:color w:val="auto"/>
                <w:szCs w:val="20"/>
              </w:rPr>
              <w:t xml:space="preserve">136,486 </w:t>
            </w:r>
            <w:r w:rsidR="009B4FE5" w:rsidRPr="00E52F9E">
              <w:rPr>
                <w:rFonts w:cstheme="minorHAnsi"/>
                <w:color w:val="auto"/>
                <w:szCs w:val="20"/>
              </w:rPr>
              <w:t xml:space="preserve">customers will receive budgeting, income maximisation, and debt advice through the IE </w:t>
            </w:r>
            <w:r w:rsidR="00C8078D">
              <w:rPr>
                <w:rFonts w:cstheme="minorHAnsi"/>
                <w:color w:val="auto"/>
                <w:szCs w:val="20"/>
              </w:rPr>
              <w:t>Hub</w:t>
            </w:r>
            <w:r w:rsidR="00C8078D" w:rsidRPr="00E52F9E">
              <w:rPr>
                <w:rFonts w:cstheme="minorHAnsi"/>
                <w:color w:val="auto"/>
                <w:szCs w:val="20"/>
              </w:rPr>
              <w:t xml:space="preserve"> </w:t>
            </w:r>
            <w:r w:rsidR="009B4FE5" w:rsidRPr="00E52F9E">
              <w:rPr>
                <w:rFonts w:cstheme="minorHAnsi"/>
                <w:color w:val="auto"/>
                <w:szCs w:val="20"/>
              </w:rPr>
              <w:t>tool.</w:t>
            </w:r>
          </w:p>
          <w:p w14:paraId="5C0EBFF7" w14:textId="77777777" w:rsidR="00293818" w:rsidRPr="00E52F9E" w:rsidRDefault="00293818" w:rsidP="00293818">
            <w:pPr>
              <w:pStyle w:val="ChartSubtitle"/>
              <w:ind w:left="720"/>
              <w:rPr>
                <w:rFonts w:cstheme="minorHAnsi"/>
                <w:color w:val="auto"/>
                <w:szCs w:val="20"/>
              </w:rPr>
            </w:pPr>
          </w:p>
          <w:p w14:paraId="58965D29" w14:textId="43985E5B" w:rsidR="00647CD1" w:rsidRDefault="00457C96" w:rsidP="2C10E815">
            <w:pPr>
              <w:pStyle w:val="ChartSubtitle"/>
              <w:numPr>
                <w:ilvl w:val="0"/>
                <w:numId w:val="32"/>
              </w:numPr>
              <w:rPr>
                <w:rFonts w:cstheme="minorHAnsi"/>
                <w:color w:val="auto"/>
                <w:szCs w:val="20"/>
              </w:rPr>
            </w:pPr>
            <w:r w:rsidRPr="00E52F9E">
              <w:rPr>
                <w:rFonts w:cstheme="minorHAnsi"/>
                <w:color w:val="auto"/>
                <w:szCs w:val="20"/>
              </w:rPr>
              <w:t>68,243</w:t>
            </w:r>
            <w:r w:rsidR="00647CD1" w:rsidRPr="00E52F9E">
              <w:rPr>
                <w:rFonts w:cstheme="minorHAnsi"/>
                <w:color w:val="auto"/>
                <w:szCs w:val="20"/>
              </w:rPr>
              <w:t xml:space="preserve"> customers will </w:t>
            </w:r>
            <w:r w:rsidR="009D773F" w:rsidRPr="00E52F9E">
              <w:rPr>
                <w:rFonts w:cstheme="minorHAnsi"/>
                <w:color w:val="auto"/>
                <w:szCs w:val="20"/>
              </w:rPr>
              <w:t xml:space="preserve">receive advice on CO awareness through the IE hub </w:t>
            </w:r>
            <w:r w:rsidR="000B45B7" w:rsidRPr="00E52F9E">
              <w:rPr>
                <w:rFonts w:cstheme="minorHAnsi"/>
                <w:color w:val="auto"/>
                <w:szCs w:val="20"/>
              </w:rPr>
              <w:t>tool.</w:t>
            </w:r>
            <w:r w:rsidR="009D773F" w:rsidRPr="00E52F9E">
              <w:rPr>
                <w:rFonts w:cstheme="minorHAnsi"/>
                <w:color w:val="auto"/>
                <w:szCs w:val="20"/>
              </w:rPr>
              <w:t xml:space="preserve"> </w:t>
            </w:r>
          </w:p>
          <w:p w14:paraId="78B38E32" w14:textId="77777777" w:rsidR="00293818" w:rsidRPr="00E52F9E" w:rsidRDefault="00293818" w:rsidP="00293818">
            <w:pPr>
              <w:pStyle w:val="ChartSubtitle"/>
              <w:ind w:left="720"/>
              <w:rPr>
                <w:rFonts w:cstheme="minorHAnsi"/>
                <w:color w:val="auto"/>
                <w:szCs w:val="20"/>
              </w:rPr>
            </w:pPr>
          </w:p>
          <w:p w14:paraId="4BE53C50" w14:textId="3214003A" w:rsidR="009D773F" w:rsidRPr="00E52F9E" w:rsidRDefault="00457C96" w:rsidP="2C10E815">
            <w:pPr>
              <w:pStyle w:val="ChartSubtitle"/>
              <w:numPr>
                <w:ilvl w:val="0"/>
                <w:numId w:val="32"/>
              </w:numPr>
              <w:rPr>
                <w:rFonts w:cstheme="minorHAnsi"/>
                <w:color w:val="auto"/>
                <w:szCs w:val="20"/>
              </w:rPr>
            </w:pPr>
            <w:r w:rsidRPr="00E52F9E">
              <w:rPr>
                <w:rFonts w:cstheme="minorHAnsi"/>
                <w:color w:val="auto"/>
                <w:szCs w:val="20"/>
              </w:rPr>
              <w:t>68,243</w:t>
            </w:r>
            <w:r w:rsidR="009D773F" w:rsidRPr="00E52F9E">
              <w:rPr>
                <w:rFonts w:cstheme="minorHAnsi"/>
                <w:color w:val="auto"/>
                <w:szCs w:val="20"/>
              </w:rPr>
              <w:t xml:space="preserve"> customers will receive advice about the PSR through the IE hub tool.</w:t>
            </w:r>
          </w:p>
          <w:p w14:paraId="36BDA000" w14:textId="77777777" w:rsidR="009D773F" w:rsidRPr="00E52F9E" w:rsidRDefault="009D773F" w:rsidP="009D773F">
            <w:pPr>
              <w:pStyle w:val="ChartSubtitle"/>
              <w:ind w:left="720"/>
              <w:rPr>
                <w:rFonts w:cstheme="minorHAnsi"/>
                <w:color w:val="auto"/>
                <w:szCs w:val="20"/>
              </w:rPr>
            </w:pPr>
          </w:p>
          <w:p w14:paraId="02123995" w14:textId="77777777" w:rsidR="00385C9C" w:rsidRPr="00E52F9E" w:rsidRDefault="00385C9C" w:rsidP="00EB74E6">
            <w:pPr>
              <w:pStyle w:val="ChartSubtitle"/>
              <w:rPr>
                <w:rFonts w:cstheme="minorHAnsi"/>
                <w:color w:val="auto"/>
                <w:szCs w:val="20"/>
              </w:rPr>
            </w:pPr>
          </w:p>
          <w:p w14:paraId="43880C49" w14:textId="77777777" w:rsidR="00385C9C" w:rsidRPr="00E52F9E" w:rsidRDefault="00385C9C" w:rsidP="00EB74E6">
            <w:pPr>
              <w:pStyle w:val="ChartSubtitle"/>
              <w:rPr>
                <w:rFonts w:cstheme="minorHAnsi"/>
                <w:color w:val="auto"/>
                <w:szCs w:val="20"/>
              </w:rPr>
            </w:pPr>
          </w:p>
          <w:p w14:paraId="46D4F4AB" w14:textId="64F376DD" w:rsidR="00385C9C" w:rsidRPr="00E52F9E" w:rsidRDefault="00385C9C" w:rsidP="00EB74E6">
            <w:pPr>
              <w:pStyle w:val="ChartSubtitle"/>
              <w:rPr>
                <w:rFonts w:cstheme="minorHAnsi"/>
                <w:color w:val="auto"/>
                <w:szCs w:val="20"/>
              </w:rPr>
            </w:pPr>
          </w:p>
        </w:tc>
      </w:tr>
      <w:tr w:rsidR="003115F2" w:rsidRPr="00E52F9E" w14:paraId="06EEC5A8" w14:textId="77777777" w:rsidTr="00182BE2">
        <w:trPr>
          <w:trHeight w:val="228"/>
        </w:trPr>
        <w:tc>
          <w:tcPr>
            <w:tcW w:w="1476" w:type="pct"/>
          </w:tcPr>
          <w:p w14:paraId="12D80358" w14:textId="62E55F7D" w:rsidR="00BA125F" w:rsidRPr="00E52F9E" w:rsidRDefault="00BA125F" w:rsidP="00BA125F">
            <w:pPr>
              <w:pStyle w:val="ChartSubtitle"/>
              <w:rPr>
                <w:rFonts w:cstheme="minorHAnsi"/>
                <w:b/>
                <w:color w:val="auto"/>
                <w:szCs w:val="20"/>
              </w:rPr>
            </w:pPr>
            <w:r w:rsidRPr="00E52F9E">
              <w:rPr>
                <w:rFonts w:cstheme="minorHAnsi"/>
                <w:b/>
                <w:color w:val="auto"/>
                <w:szCs w:val="20"/>
              </w:rPr>
              <w:lastRenderedPageBreak/>
              <w:t>Why the Project is Being Funded Through the VCMA</w:t>
            </w:r>
          </w:p>
          <w:p w14:paraId="0AB84592" w14:textId="0F678EA5" w:rsidR="00BA125F" w:rsidRPr="00E52F9E" w:rsidRDefault="00BA125F" w:rsidP="00BA125F">
            <w:pPr>
              <w:pStyle w:val="ChartSubtitle"/>
              <w:rPr>
                <w:rFonts w:cstheme="minorHAnsi"/>
                <w:b/>
                <w:color w:val="auto"/>
                <w:szCs w:val="20"/>
              </w:rPr>
            </w:pPr>
          </w:p>
        </w:tc>
        <w:tc>
          <w:tcPr>
            <w:tcW w:w="3524" w:type="pct"/>
          </w:tcPr>
          <w:p w14:paraId="626355C8" w14:textId="77777777" w:rsidR="008D14AE" w:rsidRPr="00E52F9E" w:rsidRDefault="008D14AE" w:rsidP="008D14AE">
            <w:pPr>
              <w:jc w:val="both"/>
              <w:rPr>
                <w:rFonts w:cstheme="minorHAnsi"/>
                <w:b/>
                <w:color w:val="auto"/>
                <w:sz w:val="20"/>
                <w:szCs w:val="20"/>
              </w:rPr>
            </w:pPr>
          </w:p>
          <w:p w14:paraId="0AAFB791" w14:textId="642D991C" w:rsidR="00E470C4" w:rsidRPr="00E52F9E" w:rsidRDefault="00E470C4" w:rsidP="2C10E815">
            <w:pPr>
              <w:pStyle w:val="ChartSubtitle"/>
              <w:jc w:val="both"/>
              <w:rPr>
                <w:rFonts w:cstheme="minorHAnsi"/>
                <w:b/>
                <w:bCs/>
                <w:color w:val="auto"/>
                <w:szCs w:val="20"/>
              </w:rPr>
            </w:pPr>
            <w:r w:rsidRPr="00E52F9E">
              <w:rPr>
                <w:rFonts w:cstheme="minorHAnsi"/>
                <w:b/>
                <w:bCs/>
                <w:color w:val="auto"/>
                <w:szCs w:val="20"/>
              </w:rPr>
              <w:t xml:space="preserve">We believe that the project meets </w:t>
            </w:r>
            <w:r w:rsidR="00457C96" w:rsidRPr="00E52F9E">
              <w:rPr>
                <w:rFonts w:cstheme="minorHAnsi"/>
                <w:b/>
                <w:bCs/>
                <w:color w:val="auto"/>
                <w:szCs w:val="20"/>
              </w:rPr>
              <w:t>all</w:t>
            </w:r>
            <w:r w:rsidRPr="00E52F9E">
              <w:rPr>
                <w:rFonts w:cstheme="minorHAnsi"/>
                <w:b/>
                <w:bCs/>
                <w:color w:val="auto"/>
                <w:szCs w:val="20"/>
              </w:rPr>
              <w:t xml:space="preserve"> the Vulnerability and Carbon Monoxide Allowance eligibility criteria:</w:t>
            </w:r>
          </w:p>
          <w:p w14:paraId="1221F73E" w14:textId="77777777" w:rsidR="00E470C4" w:rsidRPr="00E52F9E" w:rsidRDefault="00E470C4" w:rsidP="00E470C4">
            <w:pPr>
              <w:pStyle w:val="ChartSubtitle"/>
              <w:jc w:val="both"/>
              <w:rPr>
                <w:rFonts w:cstheme="minorHAnsi"/>
                <w:b/>
                <w:color w:val="auto"/>
                <w:szCs w:val="20"/>
              </w:rPr>
            </w:pPr>
          </w:p>
          <w:p w14:paraId="3C16B687" w14:textId="77777777" w:rsidR="00E470C4" w:rsidRPr="00E52F9E" w:rsidRDefault="00E470C4" w:rsidP="00E470C4">
            <w:pPr>
              <w:pStyle w:val="ChartSubtitle"/>
              <w:numPr>
                <w:ilvl w:val="0"/>
                <w:numId w:val="22"/>
              </w:numPr>
              <w:jc w:val="both"/>
              <w:rPr>
                <w:rFonts w:cstheme="minorHAnsi"/>
                <w:b/>
                <w:color w:val="auto"/>
                <w:szCs w:val="20"/>
              </w:rPr>
            </w:pPr>
            <w:r w:rsidRPr="00E52F9E">
              <w:rPr>
                <w:rFonts w:cstheme="minorHAnsi"/>
                <w:b/>
                <w:color w:val="auto"/>
                <w:szCs w:val="20"/>
              </w:rPr>
              <w:t>Have a positive, or a forecasted positive, Social Return on Investment (SROI) including for the gas consumers funding the VCMA Project:</w:t>
            </w:r>
          </w:p>
          <w:p w14:paraId="4E652AF0" w14:textId="77777777" w:rsidR="00E470C4" w:rsidRPr="00E52F9E" w:rsidRDefault="00E470C4" w:rsidP="00E470C4">
            <w:pPr>
              <w:pStyle w:val="ChartSubtitle"/>
              <w:ind w:left="720"/>
              <w:jc w:val="both"/>
              <w:rPr>
                <w:rFonts w:cstheme="minorHAnsi"/>
                <w:color w:val="auto"/>
                <w:szCs w:val="20"/>
              </w:rPr>
            </w:pPr>
          </w:p>
          <w:p w14:paraId="1A2D277C" w14:textId="77777777" w:rsidR="00E470C4" w:rsidRPr="00E52F9E" w:rsidRDefault="00E470C4" w:rsidP="00E470C4">
            <w:pPr>
              <w:pStyle w:val="ChartSubtitle"/>
              <w:ind w:left="720"/>
              <w:jc w:val="both"/>
              <w:rPr>
                <w:rFonts w:cstheme="minorHAnsi"/>
                <w:i/>
                <w:color w:val="auto"/>
                <w:szCs w:val="20"/>
              </w:rPr>
            </w:pPr>
            <w:r w:rsidRPr="00E52F9E">
              <w:rPr>
                <w:rFonts w:cstheme="minorHAnsi"/>
                <w:i/>
                <w:color w:val="auto"/>
                <w:szCs w:val="20"/>
              </w:rPr>
              <w:t xml:space="preserve">The project delivers a positive forecasted social return on investment. This is based on achieving the target reach for, registrations to the PSR and education on carbon monoxide and Energy efficiency. More information can be found in the relevant section below. </w:t>
            </w:r>
          </w:p>
          <w:p w14:paraId="515081E8" w14:textId="77777777" w:rsidR="00E470C4" w:rsidRPr="00E52F9E" w:rsidRDefault="00E470C4" w:rsidP="00E470C4">
            <w:pPr>
              <w:pStyle w:val="ChartSubtitle"/>
              <w:jc w:val="both"/>
              <w:rPr>
                <w:rFonts w:cstheme="minorHAnsi"/>
                <w:color w:val="auto"/>
                <w:szCs w:val="20"/>
              </w:rPr>
            </w:pPr>
          </w:p>
          <w:p w14:paraId="18949486" w14:textId="77777777" w:rsidR="00E470C4" w:rsidRPr="00E52F9E" w:rsidRDefault="00E470C4" w:rsidP="00E470C4">
            <w:pPr>
              <w:pStyle w:val="ChartSubtitle"/>
              <w:numPr>
                <w:ilvl w:val="0"/>
                <w:numId w:val="22"/>
              </w:numPr>
              <w:jc w:val="both"/>
              <w:rPr>
                <w:rFonts w:cstheme="minorHAnsi"/>
                <w:color w:val="auto"/>
                <w:szCs w:val="20"/>
              </w:rPr>
            </w:pPr>
            <w:r w:rsidRPr="00E52F9E">
              <w:rPr>
                <w:rFonts w:cstheme="minorHAnsi"/>
                <w:color w:val="auto"/>
                <w:szCs w:val="20"/>
              </w:rPr>
              <w:t>Either:</w:t>
            </w:r>
          </w:p>
          <w:p w14:paraId="17129A18" w14:textId="77777777" w:rsidR="00E470C4" w:rsidRPr="00E52F9E" w:rsidRDefault="00E470C4" w:rsidP="00E470C4">
            <w:pPr>
              <w:pStyle w:val="ChartSubtitle"/>
              <w:numPr>
                <w:ilvl w:val="0"/>
                <w:numId w:val="23"/>
              </w:numPr>
              <w:jc w:val="both"/>
              <w:rPr>
                <w:rFonts w:cstheme="minorHAnsi"/>
                <w:b/>
                <w:color w:val="auto"/>
                <w:szCs w:val="20"/>
              </w:rPr>
            </w:pPr>
            <w:r w:rsidRPr="00E52F9E">
              <w:rPr>
                <w:rFonts w:cstheme="minorHAnsi"/>
                <w:b/>
                <w:color w:val="auto"/>
                <w:szCs w:val="20"/>
              </w:rPr>
              <w:t>Provide support to consumers in Vulnerable Situations and relate to energy safeguarding, or,</w:t>
            </w:r>
          </w:p>
          <w:p w14:paraId="3FAE5426" w14:textId="77777777" w:rsidR="00E470C4" w:rsidRPr="00E52F9E" w:rsidRDefault="00E470C4" w:rsidP="00E470C4">
            <w:pPr>
              <w:pStyle w:val="ChartSubtitle"/>
              <w:numPr>
                <w:ilvl w:val="0"/>
                <w:numId w:val="23"/>
              </w:numPr>
              <w:jc w:val="both"/>
              <w:rPr>
                <w:rFonts w:cstheme="minorHAnsi"/>
                <w:b/>
                <w:color w:val="auto"/>
                <w:szCs w:val="20"/>
              </w:rPr>
            </w:pPr>
            <w:r w:rsidRPr="00E52F9E">
              <w:rPr>
                <w:rFonts w:cstheme="minorHAnsi"/>
                <w:b/>
                <w:color w:val="auto"/>
                <w:szCs w:val="20"/>
              </w:rPr>
              <w:t xml:space="preserve">Provide awareness of the dangers of CO, or, </w:t>
            </w:r>
          </w:p>
          <w:p w14:paraId="1DDF0FF2" w14:textId="77777777" w:rsidR="00E470C4" w:rsidRPr="00E52F9E" w:rsidRDefault="00E470C4" w:rsidP="00E470C4">
            <w:pPr>
              <w:pStyle w:val="ChartSubtitle"/>
              <w:numPr>
                <w:ilvl w:val="0"/>
                <w:numId w:val="23"/>
              </w:numPr>
              <w:jc w:val="both"/>
              <w:rPr>
                <w:rFonts w:cstheme="minorHAnsi"/>
                <w:b/>
                <w:color w:val="auto"/>
                <w:szCs w:val="20"/>
              </w:rPr>
            </w:pPr>
            <w:r w:rsidRPr="00E52F9E">
              <w:rPr>
                <w:rFonts w:cstheme="minorHAnsi"/>
                <w:b/>
                <w:color w:val="auto"/>
                <w:szCs w:val="20"/>
              </w:rPr>
              <w:t xml:space="preserve">Reduce the risk of harm caused by CO. </w:t>
            </w:r>
          </w:p>
          <w:p w14:paraId="11737E19" w14:textId="77777777" w:rsidR="00E470C4" w:rsidRPr="00E52F9E" w:rsidRDefault="00E470C4" w:rsidP="00E470C4">
            <w:pPr>
              <w:pStyle w:val="ChartSubtitle"/>
              <w:jc w:val="both"/>
              <w:rPr>
                <w:rFonts w:cstheme="minorHAnsi"/>
                <w:color w:val="auto"/>
                <w:szCs w:val="20"/>
              </w:rPr>
            </w:pPr>
          </w:p>
          <w:p w14:paraId="16B94DFD" w14:textId="6A35167C" w:rsidR="00E470C4" w:rsidRPr="00E52F9E" w:rsidRDefault="00E470C4" w:rsidP="2C10E815">
            <w:pPr>
              <w:pStyle w:val="ChartSubtitle"/>
              <w:ind w:left="720"/>
              <w:jc w:val="both"/>
              <w:rPr>
                <w:rFonts w:cstheme="minorHAnsi"/>
                <w:i/>
                <w:iCs/>
                <w:color w:val="auto"/>
                <w:szCs w:val="20"/>
              </w:rPr>
            </w:pPr>
            <w:r w:rsidRPr="00E52F9E">
              <w:rPr>
                <w:rFonts w:cstheme="minorHAnsi"/>
                <w:i/>
                <w:iCs/>
                <w:color w:val="auto"/>
                <w:szCs w:val="20"/>
              </w:rPr>
              <w:t>The project delivers services that meet all three elements of this criteria. The project will also raise awareness of the dangers of CO and promote registration to the PSR and offer</w:t>
            </w:r>
            <w:r w:rsidR="39C32D25" w:rsidRPr="00E52F9E">
              <w:rPr>
                <w:rFonts w:cstheme="minorHAnsi"/>
                <w:i/>
                <w:iCs/>
                <w:color w:val="auto"/>
                <w:szCs w:val="20"/>
              </w:rPr>
              <w:t xml:space="preserve">. </w:t>
            </w:r>
          </w:p>
          <w:p w14:paraId="5DF1B2A2" w14:textId="77777777" w:rsidR="00E470C4" w:rsidRPr="00E52F9E" w:rsidRDefault="00E470C4" w:rsidP="00E470C4">
            <w:pPr>
              <w:pStyle w:val="ChartSubtitle"/>
              <w:ind w:left="720"/>
              <w:jc w:val="both"/>
              <w:rPr>
                <w:rFonts w:cstheme="minorHAnsi"/>
                <w:color w:val="auto"/>
                <w:szCs w:val="20"/>
              </w:rPr>
            </w:pPr>
          </w:p>
          <w:p w14:paraId="1C5ED4E2" w14:textId="77777777" w:rsidR="00E470C4" w:rsidRPr="00E52F9E" w:rsidRDefault="00E470C4" w:rsidP="00E470C4">
            <w:pPr>
              <w:pStyle w:val="ChartSubtitle"/>
              <w:numPr>
                <w:ilvl w:val="0"/>
                <w:numId w:val="22"/>
              </w:numPr>
              <w:jc w:val="both"/>
              <w:rPr>
                <w:rFonts w:cstheme="minorHAnsi"/>
                <w:b/>
                <w:color w:val="auto"/>
                <w:szCs w:val="20"/>
              </w:rPr>
            </w:pPr>
            <w:r w:rsidRPr="00E52F9E">
              <w:rPr>
                <w:rFonts w:cstheme="minorHAnsi"/>
                <w:b/>
                <w:color w:val="auto"/>
                <w:szCs w:val="20"/>
              </w:rPr>
              <w:t xml:space="preserve">Have defined outcomes and the associated actions to achieve these: </w:t>
            </w:r>
          </w:p>
          <w:p w14:paraId="7D19A862" w14:textId="77777777" w:rsidR="00E470C4" w:rsidRPr="00E52F9E" w:rsidRDefault="00E470C4" w:rsidP="00E470C4">
            <w:pPr>
              <w:pStyle w:val="ChartSubtitle"/>
              <w:ind w:left="720"/>
              <w:jc w:val="both"/>
              <w:rPr>
                <w:rFonts w:cstheme="minorHAnsi"/>
                <w:color w:val="auto"/>
                <w:szCs w:val="20"/>
              </w:rPr>
            </w:pPr>
          </w:p>
          <w:p w14:paraId="5C5D9FFA" w14:textId="759F49D3" w:rsidR="00E470C4" w:rsidRPr="00E52F9E" w:rsidRDefault="00D65CB4" w:rsidP="00E470C4">
            <w:pPr>
              <w:pStyle w:val="ChartSubtitle"/>
              <w:ind w:left="720"/>
              <w:jc w:val="both"/>
              <w:rPr>
                <w:rFonts w:cstheme="minorHAnsi"/>
                <w:i/>
                <w:color w:val="auto"/>
                <w:szCs w:val="20"/>
              </w:rPr>
            </w:pPr>
            <w:r w:rsidRPr="001855C7">
              <w:rPr>
                <w:rFonts w:cstheme="minorHAnsi"/>
                <w:i/>
                <w:color w:val="auto"/>
                <w:szCs w:val="20"/>
              </w:rPr>
              <w:t>The GDNs</w:t>
            </w:r>
            <w:r w:rsidR="00E470C4" w:rsidRPr="001855C7">
              <w:rPr>
                <w:rFonts w:cstheme="minorHAnsi"/>
                <w:i/>
                <w:color w:val="auto"/>
                <w:szCs w:val="20"/>
              </w:rPr>
              <w:t xml:space="preserve"> and </w:t>
            </w:r>
            <w:r w:rsidR="00D9510C" w:rsidRPr="001855C7">
              <w:rPr>
                <w:rFonts w:cstheme="minorHAnsi"/>
                <w:i/>
                <w:color w:val="auto"/>
                <w:szCs w:val="20"/>
              </w:rPr>
              <w:t>IE Hub</w:t>
            </w:r>
            <w:r w:rsidR="00E470C4" w:rsidRPr="001855C7">
              <w:rPr>
                <w:rFonts w:cstheme="minorHAnsi"/>
                <w:i/>
                <w:color w:val="auto"/>
                <w:szCs w:val="20"/>
              </w:rPr>
              <w:t xml:space="preserve"> have entered into a </w:t>
            </w:r>
            <w:r w:rsidR="00F75C3A" w:rsidRPr="001855C7">
              <w:rPr>
                <w:rFonts w:cstheme="minorHAnsi"/>
                <w:i/>
                <w:color w:val="auto"/>
                <w:szCs w:val="20"/>
              </w:rPr>
              <w:t>Service</w:t>
            </w:r>
            <w:r w:rsidR="000B60E8" w:rsidRPr="001855C7">
              <w:rPr>
                <w:rFonts w:cstheme="minorHAnsi"/>
                <w:i/>
                <w:color w:val="auto"/>
                <w:szCs w:val="20"/>
              </w:rPr>
              <w:t xml:space="preserve"> </w:t>
            </w:r>
            <w:r w:rsidR="00E470C4" w:rsidRPr="001855C7">
              <w:rPr>
                <w:rFonts w:cstheme="minorHAnsi"/>
                <w:i/>
                <w:color w:val="auto"/>
                <w:szCs w:val="20"/>
              </w:rPr>
              <w:t>agreement that will contain the project objective and actions. Further detail can also be found below.</w:t>
            </w:r>
            <w:r w:rsidR="00E470C4" w:rsidRPr="00E52F9E">
              <w:rPr>
                <w:rFonts w:cstheme="minorHAnsi"/>
                <w:i/>
                <w:color w:val="auto"/>
                <w:szCs w:val="20"/>
              </w:rPr>
              <w:t xml:space="preserve"> </w:t>
            </w:r>
          </w:p>
          <w:p w14:paraId="0ECF14B6" w14:textId="77777777" w:rsidR="00E470C4" w:rsidRPr="00E52F9E" w:rsidRDefault="00E470C4" w:rsidP="00E470C4">
            <w:pPr>
              <w:pStyle w:val="ChartSubtitle"/>
              <w:jc w:val="both"/>
              <w:rPr>
                <w:rFonts w:cstheme="minorHAnsi"/>
                <w:color w:val="auto"/>
                <w:szCs w:val="20"/>
              </w:rPr>
            </w:pPr>
          </w:p>
          <w:p w14:paraId="61925736" w14:textId="77777777" w:rsidR="00894B4C" w:rsidRPr="00E52F9E" w:rsidRDefault="00E470C4" w:rsidP="00E470C4">
            <w:pPr>
              <w:pStyle w:val="ChartSubtitle"/>
              <w:numPr>
                <w:ilvl w:val="0"/>
                <w:numId w:val="22"/>
              </w:numPr>
              <w:jc w:val="both"/>
              <w:rPr>
                <w:rFonts w:cstheme="minorHAnsi"/>
                <w:b/>
                <w:color w:val="auto"/>
                <w:szCs w:val="20"/>
              </w:rPr>
            </w:pPr>
            <w:r w:rsidRPr="00E52F9E">
              <w:rPr>
                <w:rFonts w:cstheme="minorHAnsi"/>
                <w:b/>
                <w:color w:val="auto"/>
                <w:szCs w:val="20"/>
              </w:rPr>
              <w:t xml:space="preserve">Go beyond activities that are funded through other price control mechanism(s) or required through licence obligations, and, </w:t>
            </w:r>
          </w:p>
          <w:p w14:paraId="21FC587D" w14:textId="77777777" w:rsidR="00894B4C" w:rsidRPr="00E52F9E" w:rsidRDefault="00894B4C" w:rsidP="00894B4C">
            <w:pPr>
              <w:pStyle w:val="ChartSubtitle"/>
              <w:ind w:left="720"/>
              <w:jc w:val="both"/>
              <w:rPr>
                <w:rFonts w:cstheme="minorHAnsi"/>
                <w:color w:val="auto"/>
                <w:szCs w:val="20"/>
              </w:rPr>
            </w:pPr>
          </w:p>
          <w:p w14:paraId="40EE5C61" w14:textId="72510252" w:rsidR="00A3755A" w:rsidRPr="00E52F9E" w:rsidRDefault="00E470C4" w:rsidP="00894B4C">
            <w:pPr>
              <w:pStyle w:val="ChartSubtitle"/>
              <w:ind w:left="720"/>
              <w:jc w:val="both"/>
              <w:rPr>
                <w:rFonts w:cstheme="minorHAnsi"/>
                <w:i/>
                <w:color w:val="auto"/>
                <w:szCs w:val="20"/>
              </w:rPr>
            </w:pPr>
            <w:r w:rsidRPr="00E52F9E">
              <w:rPr>
                <w:rFonts w:cstheme="minorHAnsi"/>
                <w:i/>
                <w:color w:val="auto"/>
                <w:szCs w:val="20"/>
              </w:rPr>
              <w:t xml:space="preserve">This method of delivering support to customers in vulnerable situations falls outside of </w:t>
            </w:r>
            <w:r w:rsidR="00D65CB4" w:rsidRPr="00E52F9E">
              <w:rPr>
                <w:rFonts w:cstheme="minorHAnsi"/>
                <w:i/>
                <w:color w:val="auto"/>
                <w:szCs w:val="20"/>
              </w:rPr>
              <w:t>the GDNs</w:t>
            </w:r>
            <w:r w:rsidR="00894B4C" w:rsidRPr="00E52F9E">
              <w:rPr>
                <w:rFonts w:cstheme="minorHAnsi"/>
                <w:i/>
                <w:color w:val="auto"/>
                <w:szCs w:val="20"/>
              </w:rPr>
              <w:t>’</w:t>
            </w:r>
            <w:r w:rsidR="00D65CB4" w:rsidRPr="00E52F9E">
              <w:rPr>
                <w:rFonts w:cstheme="minorHAnsi"/>
                <w:i/>
                <w:color w:val="auto"/>
                <w:szCs w:val="20"/>
              </w:rPr>
              <w:t xml:space="preserve"> </w:t>
            </w:r>
            <w:r w:rsidRPr="00E52F9E">
              <w:rPr>
                <w:rFonts w:cstheme="minorHAnsi"/>
                <w:i/>
                <w:color w:val="auto"/>
                <w:szCs w:val="20"/>
              </w:rPr>
              <w:t>BAU activities and other licence conditions</w:t>
            </w:r>
            <w:r w:rsidR="00894B4C" w:rsidRPr="00E52F9E">
              <w:rPr>
                <w:rFonts w:cstheme="minorHAnsi"/>
                <w:i/>
                <w:color w:val="auto"/>
                <w:szCs w:val="20"/>
              </w:rPr>
              <w:t xml:space="preserve">. </w:t>
            </w:r>
          </w:p>
          <w:p w14:paraId="197FF2EE" w14:textId="77777777" w:rsidR="00187038" w:rsidRPr="00E52F9E" w:rsidRDefault="00187038" w:rsidP="00894B4C">
            <w:pPr>
              <w:pStyle w:val="ChartSubtitle"/>
              <w:ind w:left="720"/>
              <w:jc w:val="both"/>
              <w:rPr>
                <w:rFonts w:cstheme="minorHAnsi"/>
                <w:i/>
                <w:color w:val="auto"/>
                <w:szCs w:val="20"/>
              </w:rPr>
            </w:pPr>
          </w:p>
          <w:p w14:paraId="4B412830" w14:textId="5D44AC01" w:rsidR="00187038" w:rsidRPr="00E52F9E" w:rsidRDefault="00187038" w:rsidP="00187038">
            <w:pPr>
              <w:jc w:val="both"/>
              <w:rPr>
                <w:rFonts w:cstheme="minorHAnsi"/>
                <w:color w:val="auto"/>
                <w:sz w:val="20"/>
                <w:szCs w:val="20"/>
              </w:rPr>
            </w:pPr>
            <w:r w:rsidRPr="00E52F9E">
              <w:rPr>
                <w:rFonts w:cstheme="minorHAnsi"/>
                <w:color w:val="auto"/>
                <w:sz w:val="20"/>
                <w:szCs w:val="20"/>
              </w:rPr>
              <w:lastRenderedPageBreak/>
              <w:t>This partnership aligns to the gas networks joined up commitment to deliver support services for customers aligned to our four strategic pillars:</w:t>
            </w:r>
          </w:p>
          <w:p w14:paraId="1DAF8FE8" w14:textId="77777777" w:rsidR="00187038" w:rsidRPr="00E52F9E" w:rsidRDefault="00187038" w:rsidP="00187038">
            <w:pPr>
              <w:jc w:val="both"/>
              <w:rPr>
                <w:rFonts w:cstheme="minorHAnsi"/>
                <w:color w:val="auto"/>
                <w:sz w:val="20"/>
                <w:szCs w:val="20"/>
              </w:rPr>
            </w:pPr>
            <w:r w:rsidRPr="00E52F9E">
              <w:rPr>
                <w:rFonts w:cstheme="minorHAnsi"/>
                <w:color w:val="auto"/>
                <w:sz w:val="20"/>
                <w:szCs w:val="20"/>
              </w:rPr>
              <w:t>1.</w:t>
            </w:r>
            <w:r w:rsidRPr="00E52F9E">
              <w:rPr>
                <w:rFonts w:cstheme="minorHAnsi"/>
                <w:color w:val="auto"/>
                <w:sz w:val="20"/>
                <w:szCs w:val="20"/>
              </w:rPr>
              <w:tab/>
              <w:t>Services Beyond the Meter</w:t>
            </w:r>
          </w:p>
          <w:p w14:paraId="73308248" w14:textId="77777777" w:rsidR="00187038" w:rsidRPr="00E52F9E" w:rsidRDefault="00187038" w:rsidP="00187038">
            <w:pPr>
              <w:jc w:val="both"/>
              <w:rPr>
                <w:rFonts w:cstheme="minorHAnsi"/>
                <w:color w:val="auto"/>
                <w:sz w:val="20"/>
                <w:szCs w:val="20"/>
              </w:rPr>
            </w:pPr>
            <w:r w:rsidRPr="00E52F9E">
              <w:rPr>
                <w:rFonts w:cstheme="minorHAnsi"/>
                <w:color w:val="auto"/>
                <w:sz w:val="20"/>
                <w:szCs w:val="20"/>
              </w:rPr>
              <w:t>2.</w:t>
            </w:r>
            <w:r w:rsidRPr="00E52F9E">
              <w:rPr>
                <w:rFonts w:cstheme="minorHAnsi"/>
                <w:color w:val="auto"/>
                <w:sz w:val="20"/>
                <w:szCs w:val="20"/>
              </w:rPr>
              <w:tab/>
              <w:t>Supporting Priority Customer Groups</w:t>
            </w:r>
          </w:p>
          <w:p w14:paraId="2702FD8B" w14:textId="77777777" w:rsidR="00187038" w:rsidRPr="00E52F9E" w:rsidRDefault="00187038" w:rsidP="00187038">
            <w:pPr>
              <w:jc w:val="both"/>
              <w:rPr>
                <w:rFonts w:cstheme="minorHAnsi"/>
                <w:color w:val="auto"/>
                <w:sz w:val="20"/>
                <w:szCs w:val="20"/>
              </w:rPr>
            </w:pPr>
            <w:r w:rsidRPr="00E52F9E">
              <w:rPr>
                <w:rFonts w:cstheme="minorHAnsi"/>
                <w:color w:val="auto"/>
                <w:sz w:val="20"/>
                <w:szCs w:val="20"/>
              </w:rPr>
              <w:t>3.</w:t>
            </w:r>
            <w:r w:rsidRPr="00E52F9E">
              <w:rPr>
                <w:rFonts w:cstheme="minorHAnsi"/>
                <w:color w:val="auto"/>
                <w:sz w:val="20"/>
                <w:szCs w:val="20"/>
              </w:rPr>
              <w:tab/>
            </w:r>
            <w:r w:rsidRPr="00E52F9E">
              <w:rPr>
                <w:rFonts w:cstheme="minorHAnsi"/>
                <w:b/>
                <w:bCs/>
                <w:color w:val="auto"/>
                <w:sz w:val="20"/>
                <w:szCs w:val="20"/>
              </w:rPr>
              <w:t>Fuel Poverty &amp; Energy Affordability</w:t>
            </w:r>
          </w:p>
          <w:p w14:paraId="38C57ADD" w14:textId="77777777" w:rsidR="00187038" w:rsidRPr="00E52F9E" w:rsidRDefault="00187038" w:rsidP="00187038">
            <w:pPr>
              <w:jc w:val="both"/>
              <w:rPr>
                <w:rFonts w:cstheme="minorHAnsi"/>
                <w:color w:val="auto"/>
                <w:sz w:val="20"/>
                <w:szCs w:val="20"/>
              </w:rPr>
            </w:pPr>
            <w:r w:rsidRPr="00E52F9E">
              <w:rPr>
                <w:rFonts w:cstheme="minorHAnsi"/>
                <w:color w:val="auto"/>
                <w:sz w:val="20"/>
                <w:szCs w:val="20"/>
              </w:rPr>
              <w:t>4.</w:t>
            </w:r>
            <w:r w:rsidRPr="00E52F9E">
              <w:rPr>
                <w:rFonts w:cstheme="minorHAnsi"/>
                <w:color w:val="auto"/>
                <w:sz w:val="20"/>
                <w:szCs w:val="20"/>
              </w:rPr>
              <w:tab/>
              <w:t>Carbon Monoxide Awareness</w:t>
            </w:r>
          </w:p>
          <w:p w14:paraId="086D9975" w14:textId="77777777" w:rsidR="00187038" w:rsidRPr="00E52F9E" w:rsidRDefault="00187038" w:rsidP="00187038">
            <w:pPr>
              <w:jc w:val="both"/>
              <w:rPr>
                <w:rFonts w:cstheme="minorHAnsi"/>
                <w:color w:val="auto"/>
                <w:sz w:val="20"/>
                <w:szCs w:val="20"/>
              </w:rPr>
            </w:pPr>
          </w:p>
          <w:p w14:paraId="0B074110" w14:textId="0A80BD49" w:rsidR="00187038" w:rsidRPr="00E52F9E" w:rsidRDefault="00187038" w:rsidP="00187038">
            <w:pPr>
              <w:jc w:val="both"/>
              <w:rPr>
                <w:rFonts w:cstheme="minorHAnsi"/>
                <w:color w:val="auto"/>
                <w:sz w:val="20"/>
                <w:szCs w:val="20"/>
              </w:rPr>
            </w:pPr>
            <w:r w:rsidRPr="00E52F9E">
              <w:rPr>
                <w:rFonts w:cstheme="minorHAnsi"/>
                <w:color w:val="auto"/>
                <w:sz w:val="20"/>
                <w:szCs w:val="20"/>
              </w:rPr>
              <w:t>This project aligns to strategic pillars 3 (with outcomes in 2 and 4).</w:t>
            </w:r>
          </w:p>
          <w:p w14:paraId="28FFEF96" w14:textId="77777777" w:rsidR="00187038" w:rsidRPr="00E52F9E" w:rsidRDefault="00187038" w:rsidP="00894B4C">
            <w:pPr>
              <w:pStyle w:val="ChartSubtitle"/>
              <w:ind w:left="720"/>
              <w:jc w:val="both"/>
              <w:rPr>
                <w:rFonts w:cstheme="minorHAnsi"/>
                <w:b/>
                <w:i/>
                <w:color w:val="auto"/>
                <w:szCs w:val="20"/>
              </w:rPr>
            </w:pPr>
          </w:p>
          <w:p w14:paraId="5A5195DA" w14:textId="3981A1E3" w:rsidR="00A3755A" w:rsidRPr="00E52F9E" w:rsidRDefault="00A3755A" w:rsidP="00296FC7">
            <w:pPr>
              <w:pStyle w:val="ChartSubtitle"/>
              <w:rPr>
                <w:rFonts w:cstheme="minorHAnsi"/>
                <w:color w:val="auto"/>
                <w:szCs w:val="20"/>
              </w:rPr>
            </w:pPr>
          </w:p>
        </w:tc>
      </w:tr>
      <w:tr w:rsidR="003115F2" w:rsidRPr="00E52F9E" w14:paraId="1FC4B758" w14:textId="77777777" w:rsidTr="00182BE2">
        <w:trPr>
          <w:trHeight w:val="239"/>
        </w:trPr>
        <w:tc>
          <w:tcPr>
            <w:tcW w:w="1476" w:type="pct"/>
          </w:tcPr>
          <w:p w14:paraId="5183D0FE" w14:textId="3756EF49" w:rsidR="00BA125F" w:rsidRPr="00E52F9E" w:rsidRDefault="00296FC7" w:rsidP="00BA125F">
            <w:pPr>
              <w:pStyle w:val="ChartSubtitle"/>
              <w:rPr>
                <w:rFonts w:cstheme="minorHAnsi"/>
                <w:b/>
                <w:color w:val="auto"/>
                <w:szCs w:val="20"/>
              </w:rPr>
            </w:pPr>
            <w:r w:rsidRPr="00E52F9E">
              <w:rPr>
                <w:rFonts w:cstheme="minorHAnsi"/>
                <w:b/>
                <w:color w:val="auto"/>
                <w:szCs w:val="20"/>
              </w:rPr>
              <w:lastRenderedPageBreak/>
              <w:t>Evidence of Stakeholder/Customer Support</w:t>
            </w:r>
          </w:p>
          <w:p w14:paraId="1121825E" w14:textId="040511AD" w:rsidR="00BA125F" w:rsidRPr="00E52F9E" w:rsidRDefault="00BA125F" w:rsidP="00BA125F">
            <w:pPr>
              <w:pStyle w:val="ChartSubtitle"/>
              <w:rPr>
                <w:rFonts w:cstheme="minorHAnsi"/>
                <w:b/>
                <w:color w:val="auto"/>
                <w:szCs w:val="20"/>
              </w:rPr>
            </w:pPr>
          </w:p>
        </w:tc>
        <w:tc>
          <w:tcPr>
            <w:tcW w:w="3524" w:type="pct"/>
          </w:tcPr>
          <w:p w14:paraId="7C02960E" w14:textId="763CD06C" w:rsidR="00894B4C" w:rsidRPr="001855C7" w:rsidRDefault="00894B4C" w:rsidP="00B23BFD">
            <w:pPr>
              <w:rPr>
                <w:rFonts w:cstheme="minorHAnsi"/>
                <w:b/>
                <w:bCs/>
                <w:color w:val="auto"/>
                <w:sz w:val="20"/>
                <w:szCs w:val="20"/>
                <w:u w:val="single"/>
              </w:rPr>
            </w:pPr>
            <w:r w:rsidRPr="001855C7">
              <w:rPr>
                <w:rFonts w:cstheme="minorHAnsi"/>
                <w:b/>
                <w:bCs/>
                <w:color w:val="auto"/>
                <w:sz w:val="20"/>
                <w:szCs w:val="20"/>
                <w:u w:val="single"/>
              </w:rPr>
              <w:t>Cadent stakeholder evidence</w:t>
            </w:r>
          </w:p>
          <w:p w14:paraId="5D0D0F44" w14:textId="77777777" w:rsidR="00894B4C" w:rsidRPr="001855C7" w:rsidRDefault="00894B4C" w:rsidP="00B23BFD">
            <w:pPr>
              <w:rPr>
                <w:rFonts w:cstheme="minorHAnsi"/>
                <w:color w:val="auto"/>
                <w:sz w:val="20"/>
                <w:szCs w:val="20"/>
              </w:rPr>
            </w:pPr>
          </w:p>
          <w:p w14:paraId="2EAF5F58" w14:textId="0A43908C" w:rsidR="004709BA" w:rsidRPr="001855C7" w:rsidRDefault="004709BA" w:rsidP="00B23BFD">
            <w:pPr>
              <w:rPr>
                <w:rFonts w:cstheme="minorHAnsi"/>
                <w:color w:val="auto"/>
                <w:sz w:val="20"/>
                <w:szCs w:val="20"/>
              </w:rPr>
            </w:pPr>
            <w:r w:rsidRPr="001855C7">
              <w:rPr>
                <w:rFonts w:cstheme="minorHAnsi"/>
                <w:color w:val="auto"/>
                <w:sz w:val="20"/>
                <w:szCs w:val="20"/>
              </w:rPr>
              <w:t>Cadent conducted extensive</w:t>
            </w:r>
            <w:r w:rsidR="00894B4C" w:rsidRPr="001855C7">
              <w:rPr>
                <w:rFonts w:cstheme="minorHAnsi"/>
                <w:color w:val="auto"/>
                <w:sz w:val="20"/>
                <w:szCs w:val="20"/>
              </w:rPr>
              <w:t xml:space="preserve"> </w:t>
            </w:r>
            <w:r w:rsidRPr="001855C7">
              <w:rPr>
                <w:rFonts w:cstheme="minorHAnsi"/>
                <w:color w:val="auto"/>
                <w:sz w:val="20"/>
                <w:szCs w:val="20"/>
              </w:rPr>
              <w:t>stakeholder and customer engagement to obtain feedback on its RIIO-GD2 business plans and subsequent V</w:t>
            </w:r>
            <w:r w:rsidR="00894B4C" w:rsidRPr="001855C7">
              <w:rPr>
                <w:rFonts w:cstheme="minorHAnsi"/>
                <w:color w:val="auto"/>
                <w:sz w:val="20"/>
                <w:szCs w:val="20"/>
              </w:rPr>
              <w:t xml:space="preserve">CMA </w:t>
            </w:r>
            <w:r w:rsidRPr="001855C7">
              <w:rPr>
                <w:rFonts w:cstheme="minorHAnsi"/>
                <w:color w:val="auto"/>
                <w:sz w:val="20"/>
                <w:szCs w:val="20"/>
              </w:rPr>
              <w:t xml:space="preserve">delivery. </w:t>
            </w:r>
          </w:p>
          <w:p w14:paraId="18E9822C" w14:textId="77777777" w:rsidR="004709BA" w:rsidRPr="001855C7" w:rsidRDefault="004709BA" w:rsidP="00B23BFD">
            <w:pPr>
              <w:rPr>
                <w:rFonts w:cstheme="minorHAnsi"/>
                <w:color w:val="auto"/>
                <w:sz w:val="20"/>
                <w:szCs w:val="20"/>
              </w:rPr>
            </w:pPr>
          </w:p>
          <w:p w14:paraId="5133853C" w14:textId="77777777" w:rsidR="004709BA" w:rsidRPr="001855C7" w:rsidRDefault="004709BA" w:rsidP="00B23BFD">
            <w:pPr>
              <w:rPr>
                <w:rFonts w:cstheme="minorHAnsi"/>
                <w:color w:val="auto"/>
                <w:sz w:val="20"/>
                <w:szCs w:val="20"/>
              </w:rPr>
            </w:pPr>
            <w:r w:rsidRPr="001855C7">
              <w:rPr>
                <w:rFonts w:cstheme="minorHAnsi"/>
                <w:color w:val="auto"/>
                <w:sz w:val="20"/>
                <w:szCs w:val="20"/>
              </w:rPr>
              <w:t xml:space="preserve">Firstly, we conducted "Energy Diaries", a piece of research aimed at gauging the customer's attitudes towards the rises in energy prices, as well as the support offered by organisations such as Cadent. The Energy Diaries demonstrated that customers continue to support the key measures that we identified when developing our RIIO-2 plan, with a heightened requirement to support people with the cost-of-living crisis. </w:t>
            </w:r>
          </w:p>
          <w:p w14:paraId="408B31ED" w14:textId="77777777" w:rsidR="004709BA" w:rsidRPr="001855C7" w:rsidRDefault="004709BA" w:rsidP="00B23BFD">
            <w:pPr>
              <w:rPr>
                <w:rFonts w:cstheme="minorHAnsi"/>
                <w:color w:val="auto"/>
                <w:sz w:val="20"/>
                <w:szCs w:val="20"/>
              </w:rPr>
            </w:pPr>
          </w:p>
          <w:p w14:paraId="10AD4CE7" w14:textId="0B5DAA55" w:rsidR="004709BA" w:rsidRPr="001855C7" w:rsidRDefault="004709BA" w:rsidP="00B23BFD">
            <w:pPr>
              <w:rPr>
                <w:rFonts w:cstheme="minorHAnsi"/>
                <w:color w:val="auto"/>
                <w:sz w:val="20"/>
                <w:szCs w:val="20"/>
              </w:rPr>
            </w:pPr>
            <w:r w:rsidRPr="001855C7">
              <w:rPr>
                <w:rFonts w:cstheme="minorHAnsi"/>
                <w:color w:val="auto"/>
                <w:sz w:val="20"/>
                <w:szCs w:val="20"/>
              </w:rPr>
              <w:t xml:space="preserve">The partnership between Dads Unlimited recognises this feedback by offering vulnerable households essential support with income maximisation and energy efficiency services. </w:t>
            </w:r>
          </w:p>
          <w:p w14:paraId="636BE467" w14:textId="77777777" w:rsidR="004709BA" w:rsidRPr="001855C7" w:rsidRDefault="004709BA" w:rsidP="00B23BFD">
            <w:pPr>
              <w:rPr>
                <w:rFonts w:cstheme="minorHAnsi"/>
                <w:color w:val="auto"/>
                <w:sz w:val="20"/>
                <w:szCs w:val="20"/>
              </w:rPr>
            </w:pPr>
          </w:p>
          <w:p w14:paraId="3D261CE2" w14:textId="18B64CD7" w:rsidR="004709BA" w:rsidRPr="001855C7" w:rsidRDefault="004709BA" w:rsidP="2C10E815">
            <w:pPr>
              <w:rPr>
                <w:rFonts w:cstheme="minorHAnsi"/>
                <w:color w:val="auto"/>
                <w:sz w:val="20"/>
                <w:szCs w:val="20"/>
              </w:rPr>
            </w:pPr>
            <w:r w:rsidRPr="001855C7">
              <w:rPr>
                <w:rFonts w:cstheme="minorHAnsi"/>
                <w:color w:val="auto"/>
                <w:sz w:val="20"/>
                <w:szCs w:val="20"/>
              </w:rPr>
              <w:t xml:space="preserve">Secondly, we regularly seek to obtain the feedback of stakeholders such as Citizens Advice and National Energy Action (NEA) </w:t>
            </w:r>
            <w:r w:rsidR="00894B4C" w:rsidRPr="001855C7">
              <w:rPr>
                <w:rFonts w:cstheme="minorHAnsi"/>
                <w:color w:val="auto"/>
                <w:sz w:val="20"/>
                <w:szCs w:val="20"/>
              </w:rPr>
              <w:t>to</w:t>
            </w:r>
            <w:r w:rsidRPr="001855C7">
              <w:rPr>
                <w:rFonts w:cstheme="minorHAnsi"/>
                <w:color w:val="auto"/>
                <w:sz w:val="20"/>
                <w:szCs w:val="20"/>
              </w:rPr>
              <w:t xml:space="preserve"> understand the needs of customers in vulnerable situations. These regular conversations allow Cadent to gain feedback on the initiatives we are or should be </w:t>
            </w:r>
            <w:r w:rsidR="000B45B7" w:rsidRPr="001855C7">
              <w:rPr>
                <w:rFonts w:cstheme="minorHAnsi"/>
                <w:color w:val="auto"/>
                <w:sz w:val="20"/>
                <w:szCs w:val="20"/>
              </w:rPr>
              <w:t>supporting and</w:t>
            </w:r>
            <w:r w:rsidRPr="001855C7">
              <w:rPr>
                <w:rFonts w:cstheme="minorHAnsi"/>
                <w:color w:val="auto"/>
                <w:sz w:val="20"/>
                <w:szCs w:val="20"/>
              </w:rPr>
              <w:t xml:space="preserve"> ensure that the projects are in the best interests of our customers. Stakeholders have provided consistent feedback on the need for energy networks to focus their funding on supporting households most impacted by the </w:t>
            </w:r>
            <w:r w:rsidR="00894B4C" w:rsidRPr="001855C7">
              <w:rPr>
                <w:rFonts w:cstheme="minorHAnsi"/>
                <w:color w:val="auto"/>
                <w:sz w:val="20"/>
                <w:szCs w:val="20"/>
              </w:rPr>
              <w:t>cost-of-living</w:t>
            </w:r>
            <w:r w:rsidRPr="001855C7">
              <w:rPr>
                <w:rFonts w:cstheme="minorHAnsi"/>
                <w:color w:val="auto"/>
                <w:sz w:val="20"/>
                <w:szCs w:val="20"/>
              </w:rPr>
              <w:t xml:space="preserve"> crisis. </w:t>
            </w:r>
          </w:p>
          <w:p w14:paraId="7A2EDF4B" w14:textId="77777777" w:rsidR="004709BA" w:rsidRPr="001855C7" w:rsidRDefault="004709BA" w:rsidP="00B23BFD">
            <w:pPr>
              <w:rPr>
                <w:rFonts w:cstheme="minorHAnsi"/>
                <w:color w:val="auto"/>
                <w:sz w:val="20"/>
                <w:szCs w:val="20"/>
              </w:rPr>
            </w:pPr>
          </w:p>
          <w:p w14:paraId="73392E3D" w14:textId="77777777" w:rsidR="004709BA" w:rsidRPr="001855C7" w:rsidRDefault="004709BA" w:rsidP="00B23BFD">
            <w:pPr>
              <w:rPr>
                <w:rFonts w:cstheme="minorHAnsi"/>
                <w:color w:val="auto"/>
                <w:sz w:val="20"/>
                <w:szCs w:val="20"/>
              </w:rPr>
            </w:pPr>
            <w:r w:rsidRPr="001855C7">
              <w:rPr>
                <w:rFonts w:cstheme="minorHAnsi"/>
                <w:color w:val="auto"/>
                <w:sz w:val="20"/>
                <w:szCs w:val="20"/>
              </w:rPr>
              <w:t xml:space="preserve">This project takes this feedback into account by creating a partnership with a trusted local charity, positioned in an area with levels of deprivation and fuel poverty significantly higher than the national average. </w:t>
            </w:r>
          </w:p>
          <w:p w14:paraId="73AFCCDF" w14:textId="77777777" w:rsidR="004709BA" w:rsidRPr="001855C7" w:rsidRDefault="004709BA" w:rsidP="00B23BFD">
            <w:pPr>
              <w:rPr>
                <w:rFonts w:cstheme="minorHAnsi"/>
                <w:color w:val="auto"/>
                <w:sz w:val="20"/>
                <w:szCs w:val="20"/>
              </w:rPr>
            </w:pPr>
          </w:p>
          <w:p w14:paraId="3A538AD0" w14:textId="77777777" w:rsidR="004709BA" w:rsidRPr="001855C7" w:rsidRDefault="004709BA" w:rsidP="00B23BFD">
            <w:pPr>
              <w:rPr>
                <w:rFonts w:cstheme="minorHAnsi"/>
                <w:color w:val="auto"/>
                <w:sz w:val="20"/>
                <w:szCs w:val="20"/>
              </w:rPr>
            </w:pPr>
            <w:r w:rsidRPr="001855C7">
              <w:rPr>
                <w:rFonts w:cstheme="minorHAnsi"/>
                <w:color w:val="auto"/>
                <w:sz w:val="20"/>
                <w:szCs w:val="20"/>
              </w:rPr>
              <w:t xml:space="preserve">Finally, Cadent asked customers for their views on which of the below statements best described their health and financial situation compared to 2021: </w:t>
            </w:r>
          </w:p>
          <w:p w14:paraId="32011485" w14:textId="77777777" w:rsidR="004709BA" w:rsidRPr="001855C7" w:rsidRDefault="004709BA" w:rsidP="00B23BFD">
            <w:pPr>
              <w:rPr>
                <w:rFonts w:cstheme="minorHAnsi"/>
                <w:color w:val="auto"/>
                <w:sz w:val="20"/>
                <w:szCs w:val="20"/>
              </w:rPr>
            </w:pPr>
          </w:p>
          <w:p w14:paraId="6E7D0CAD" w14:textId="77777777" w:rsidR="004709BA" w:rsidRPr="001855C7" w:rsidRDefault="004709BA" w:rsidP="00B23BFD">
            <w:pPr>
              <w:numPr>
                <w:ilvl w:val="0"/>
                <w:numId w:val="24"/>
              </w:numPr>
              <w:rPr>
                <w:rFonts w:cstheme="minorHAnsi"/>
                <w:color w:val="auto"/>
                <w:sz w:val="20"/>
                <w:szCs w:val="20"/>
              </w:rPr>
            </w:pPr>
            <w:r w:rsidRPr="001855C7">
              <w:rPr>
                <w:rFonts w:cstheme="minorHAnsi"/>
                <w:color w:val="auto"/>
                <w:sz w:val="20"/>
                <w:szCs w:val="20"/>
              </w:rPr>
              <w:t>My current household’s health or financial situation is worse off compared to 2021.</w:t>
            </w:r>
          </w:p>
          <w:p w14:paraId="246B5D2B" w14:textId="33E4A723" w:rsidR="004709BA" w:rsidRPr="001855C7" w:rsidRDefault="004709BA" w:rsidP="2C10E815">
            <w:pPr>
              <w:numPr>
                <w:ilvl w:val="0"/>
                <w:numId w:val="24"/>
              </w:numPr>
              <w:rPr>
                <w:rFonts w:cstheme="minorHAnsi"/>
                <w:color w:val="auto"/>
                <w:sz w:val="20"/>
                <w:szCs w:val="20"/>
              </w:rPr>
            </w:pPr>
            <w:r w:rsidRPr="001855C7">
              <w:rPr>
                <w:rFonts w:cstheme="minorHAnsi"/>
                <w:color w:val="auto"/>
                <w:sz w:val="20"/>
                <w:szCs w:val="20"/>
              </w:rPr>
              <w:t>My current household’s health or financial situation is the same compared to 2021.</w:t>
            </w:r>
          </w:p>
          <w:p w14:paraId="45E2021A" w14:textId="77777777" w:rsidR="004709BA" w:rsidRPr="001855C7" w:rsidRDefault="004709BA" w:rsidP="00B23BFD">
            <w:pPr>
              <w:numPr>
                <w:ilvl w:val="0"/>
                <w:numId w:val="24"/>
              </w:numPr>
              <w:rPr>
                <w:rFonts w:cstheme="minorHAnsi"/>
                <w:color w:val="auto"/>
                <w:sz w:val="20"/>
                <w:szCs w:val="20"/>
              </w:rPr>
            </w:pPr>
            <w:r w:rsidRPr="001855C7">
              <w:rPr>
                <w:rFonts w:cstheme="minorHAnsi"/>
                <w:color w:val="auto"/>
                <w:sz w:val="20"/>
                <w:szCs w:val="20"/>
              </w:rPr>
              <w:t>My current household’s health or financial situation is better off compared to 2021.</w:t>
            </w:r>
          </w:p>
          <w:p w14:paraId="0A77843A" w14:textId="77777777" w:rsidR="004709BA" w:rsidRPr="001855C7" w:rsidRDefault="004709BA" w:rsidP="00B23BFD">
            <w:pPr>
              <w:rPr>
                <w:rFonts w:cstheme="minorHAnsi"/>
                <w:color w:val="auto"/>
                <w:sz w:val="20"/>
                <w:szCs w:val="20"/>
              </w:rPr>
            </w:pPr>
          </w:p>
          <w:p w14:paraId="26186450" w14:textId="77777777" w:rsidR="004709BA" w:rsidRPr="001855C7" w:rsidRDefault="004709BA" w:rsidP="00B23BFD">
            <w:pPr>
              <w:rPr>
                <w:rFonts w:cstheme="minorHAnsi"/>
                <w:color w:val="auto"/>
                <w:sz w:val="20"/>
                <w:szCs w:val="20"/>
              </w:rPr>
            </w:pPr>
            <w:r w:rsidRPr="001855C7">
              <w:rPr>
                <w:rFonts w:cstheme="minorHAnsi"/>
                <w:color w:val="auto"/>
                <w:sz w:val="20"/>
                <w:szCs w:val="20"/>
              </w:rPr>
              <w:t>60% of participants responded that their households' health or financial situation was worse off this year compared to 2021 levels.</w:t>
            </w:r>
          </w:p>
          <w:p w14:paraId="6B444C11" w14:textId="77777777" w:rsidR="006C3846" w:rsidRPr="001855C7" w:rsidRDefault="006C3846" w:rsidP="00B23BFD">
            <w:pPr>
              <w:rPr>
                <w:rFonts w:cstheme="minorHAnsi"/>
                <w:color w:val="auto"/>
                <w:sz w:val="20"/>
                <w:szCs w:val="20"/>
              </w:rPr>
            </w:pPr>
          </w:p>
          <w:p w14:paraId="05265AE5" w14:textId="345B3E85" w:rsidR="006C3846" w:rsidRPr="001855C7" w:rsidRDefault="002A0984" w:rsidP="00B23BFD">
            <w:pPr>
              <w:rPr>
                <w:rFonts w:cstheme="minorHAnsi"/>
                <w:b/>
                <w:bCs/>
                <w:color w:val="auto"/>
                <w:sz w:val="20"/>
                <w:szCs w:val="20"/>
                <w:u w:val="single"/>
              </w:rPr>
            </w:pPr>
            <w:r w:rsidRPr="001855C7">
              <w:rPr>
                <w:rFonts w:cstheme="minorHAnsi"/>
                <w:b/>
                <w:bCs/>
                <w:color w:val="auto"/>
                <w:sz w:val="20"/>
                <w:szCs w:val="20"/>
                <w:u w:val="single"/>
              </w:rPr>
              <w:t xml:space="preserve">SGN </w:t>
            </w:r>
            <w:r w:rsidR="00C15C24" w:rsidRPr="001855C7">
              <w:rPr>
                <w:rFonts w:cstheme="minorHAnsi"/>
                <w:b/>
                <w:bCs/>
                <w:color w:val="auto"/>
                <w:sz w:val="20"/>
                <w:szCs w:val="20"/>
                <w:u w:val="single"/>
              </w:rPr>
              <w:t>s</w:t>
            </w:r>
            <w:r w:rsidR="00492C99" w:rsidRPr="001855C7">
              <w:rPr>
                <w:rFonts w:cstheme="minorHAnsi"/>
                <w:b/>
                <w:bCs/>
                <w:color w:val="auto"/>
                <w:sz w:val="20"/>
                <w:szCs w:val="20"/>
                <w:u w:val="single"/>
              </w:rPr>
              <w:t xml:space="preserve">takeholder </w:t>
            </w:r>
            <w:r w:rsidR="00C15C24" w:rsidRPr="001855C7">
              <w:rPr>
                <w:rFonts w:cstheme="minorHAnsi"/>
                <w:b/>
                <w:bCs/>
                <w:color w:val="auto"/>
                <w:sz w:val="20"/>
                <w:szCs w:val="20"/>
                <w:u w:val="single"/>
              </w:rPr>
              <w:t>e</w:t>
            </w:r>
            <w:r w:rsidR="00492C99" w:rsidRPr="001855C7">
              <w:rPr>
                <w:rFonts w:cstheme="minorHAnsi"/>
                <w:b/>
                <w:bCs/>
                <w:color w:val="auto"/>
                <w:sz w:val="20"/>
                <w:szCs w:val="20"/>
                <w:u w:val="single"/>
              </w:rPr>
              <w:t xml:space="preserve">vidence </w:t>
            </w:r>
          </w:p>
          <w:p w14:paraId="074C198D" w14:textId="77777777" w:rsidR="00C15C24" w:rsidRPr="001855C7" w:rsidRDefault="00C15C24" w:rsidP="00B23BFD">
            <w:pPr>
              <w:rPr>
                <w:rFonts w:cstheme="minorHAnsi"/>
                <w:color w:val="auto"/>
                <w:sz w:val="20"/>
                <w:szCs w:val="20"/>
              </w:rPr>
            </w:pPr>
          </w:p>
          <w:p w14:paraId="4383382E" w14:textId="335745EC" w:rsidR="00492C99" w:rsidRPr="001855C7" w:rsidRDefault="00492C99" w:rsidP="00492C99">
            <w:pPr>
              <w:rPr>
                <w:rFonts w:cstheme="minorHAnsi"/>
                <w:color w:val="auto"/>
                <w:sz w:val="20"/>
                <w:szCs w:val="20"/>
              </w:rPr>
            </w:pPr>
            <w:r w:rsidRPr="001855C7">
              <w:rPr>
                <w:rFonts w:cstheme="minorHAnsi"/>
                <w:color w:val="auto"/>
                <w:sz w:val="20"/>
                <w:szCs w:val="20"/>
              </w:rPr>
              <w:t xml:space="preserve">SGN’s Vulnerable Steering Group has helped shape SGN’s vulnerability strategy and priorities for GD2 from strategy into delivery. With their guidance we intend to prioritise key initiatives to support our most vulnerable customers. </w:t>
            </w:r>
          </w:p>
          <w:p w14:paraId="1C0F0997" w14:textId="77777777" w:rsidR="00492C99" w:rsidRPr="001855C7" w:rsidRDefault="00492C99" w:rsidP="00492C99">
            <w:pPr>
              <w:rPr>
                <w:rFonts w:cstheme="minorHAnsi"/>
                <w:color w:val="auto"/>
                <w:sz w:val="20"/>
                <w:szCs w:val="20"/>
              </w:rPr>
            </w:pPr>
          </w:p>
          <w:p w14:paraId="07EFA746" w14:textId="0416D123" w:rsidR="00492C99" w:rsidRPr="001855C7" w:rsidRDefault="00492C99" w:rsidP="00492C99">
            <w:pPr>
              <w:rPr>
                <w:rFonts w:cstheme="minorHAnsi"/>
                <w:color w:val="auto"/>
                <w:sz w:val="20"/>
                <w:szCs w:val="20"/>
              </w:rPr>
            </w:pPr>
            <w:r w:rsidRPr="001855C7">
              <w:rPr>
                <w:rFonts w:cstheme="minorHAnsi"/>
                <w:color w:val="auto"/>
                <w:sz w:val="20"/>
                <w:szCs w:val="20"/>
              </w:rPr>
              <w:t>With a data driven approach to identify communities most likely to suffer detriment from living in a cold and unhealthy home, it was identified that we should prioritise programmes th</w:t>
            </w:r>
            <w:r w:rsidR="0079031C" w:rsidRPr="001855C7">
              <w:rPr>
                <w:rFonts w:cstheme="minorHAnsi"/>
                <w:color w:val="auto"/>
                <w:sz w:val="20"/>
                <w:szCs w:val="20"/>
              </w:rPr>
              <w:t>ose most in need</w:t>
            </w:r>
            <w:r w:rsidR="00045FCF" w:rsidRPr="001855C7">
              <w:rPr>
                <w:rFonts w:cstheme="minorHAnsi"/>
                <w:color w:val="auto"/>
                <w:sz w:val="20"/>
                <w:szCs w:val="20"/>
              </w:rPr>
              <w:t xml:space="preserve">, include </w:t>
            </w:r>
            <w:r w:rsidR="007B4EB1" w:rsidRPr="001855C7">
              <w:rPr>
                <w:rFonts w:cstheme="minorHAnsi"/>
                <w:color w:val="auto"/>
                <w:sz w:val="20"/>
                <w:szCs w:val="20"/>
              </w:rPr>
              <w:t xml:space="preserve">priority customers groups. </w:t>
            </w:r>
          </w:p>
          <w:p w14:paraId="0FF0CB80" w14:textId="0C4201A4" w:rsidR="00492C99" w:rsidRPr="001855C7" w:rsidRDefault="00492C99" w:rsidP="00492C99">
            <w:pPr>
              <w:rPr>
                <w:rFonts w:cstheme="minorHAnsi"/>
                <w:color w:val="auto"/>
                <w:sz w:val="20"/>
                <w:szCs w:val="20"/>
              </w:rPr>
            </w:pPr>
          </w:p>
          <w:p w14:paraId="5A2F0E1A" w14:textId="1682DA92" w:rsidR="00606AC6" w:rsidRPr="001855C7" w:rsidRDefault="00492C99" w:rsidP="2C10E815">
            <w:pPr>
              <w:rPr>
                <w:rFonts w:cstheme="minorHAnsi"/>
                <w:color w:val="auto"/>
                <w:sz w:val="20"/>
                <w:szCs w:val="20"/>
              </w:rPr>
            </w:pPr>
            <w:r w:rsidRPr="001855C7">
              <w:rPr>
                <w:rFonts w:cstheme="minorHAnsi"/>
                <w:color w:val="auto"/>
                <w:sz w:val="20"/>
                <w:szCs w:val="20"/>
              </w:rPr>
              <w:t>In 2023 our strategic steering group re-iterated the vital impact we could have by co-ordinating our activities with others to identify and support those most in need, those most impacted by the cost of living and energy cost crisis</w:t>
            </w:r>
          </w:p>
          <w:p w14:paraId="6F444FD9" w14:textId="77777777" w:rsidR="00606AC6" w:rsidRPr="001855C7" w:rsidRDefault="00606AC6" w:rsidP="00492C99">
            <w:pPr>
              <w:rPr>
                <w:rFonts w:cstheme="minorHAnsi"/>
                <w:color w:val="auto"/>
                <w:sz w:val="20"/>
                <w:szCs w:val="20"/>
              </w:rPr>
            </w:pPr>
          </w:p>
          <w:p w14:paraId="0A0FBDD3" w14:textId="6316FB78" w:rsidR="00492C99" w:rsidRPr="001855C7" w:rsidRDefault="00606AC6" w:rsidP="00492C99">
            <w:pPr>
              <w:rPr>
                <w:rFonts w:cstheme="minorHAnsi"/>
                <w:b/>
                <w:bCs/>
                <w:color w:val="auto"/>
                <w:sz w:val="20"/>
                <w:szCs w:val="20"/>
                <w:u w:val="single"/>
              </w:rPr>
            </w:pPr>
            <w:r w:rsidRPr="001855C7">
              <w:rPr>
                <w:rFonts w:cstheme="minorHAnsi"/>
                <w:b/>
                <w:bCs/>
                <w:color w:val="auto"/>
                <w:sz w:val="20"/>
                <w:szCs w:val="20"/>
                <w:u w:val="single"/>
              </w:rPr>
              <w:t>Wales and West Stakeholder evidence</w:t>
            </w:r>
            <w:r w:rsidR="00492C99" w:rsidRPr="001855C7">
              <w:rPr>
                <w:rFonts w:cstheme="minorHAnsi"/>
                <w:b/>
                <w:bCs/>
                <w:color w:val="auto"/>
                <w:sz w:val="20"/>
                <w:szCs w:val="20"/>
                <w:u w:val="single"/>
              </w:rPr>
              <w:t xml:space="preserve">  </w:t>
            </w:r>
          </w:p>
          <w:p w14:paraId="7A217774" w14:textId="77777777" w:rsidR="00296FC7" w:rsidRPr="00E52F9E" w:rsidRDefault="00296FC7" w:rsidP="00B23BFD">
            <w:pPr>
              <w:pStyle w:val="ChartSubtitle"/>
              <w:rPr>
                <w:rFonts w:cstheme="minorHAnsi"/>
                <w:color w:val="auto"/>
                <w:szCs w:val="20"/>
              </w:rPr>
            </w:pPr>
          </w:p>
          <w:p w14:paraId="4E04B288" w14:textId="77777777" w:rsidR="0067227F" w:rsidRPr="001855C7" w:rsidRDefault="0067227F" w:rsidP="0067227F">
            <w:pPr>
              <w:pStyle w:val="Default"/>
              <w:rPr>
                <w:rFonts w:asciiTheme="minorHAnsi" w:hAnsiTheme="minorHAnsi" w:cstheme="minorHAnsi"/>
                <w:color w:val="auto"/>
                <w:sz w:val="20"/>
                <w:szCs w:val="20"/>
              </w:rPr>
            </w:pPr>
            <w:r w:rsidRPr="001855C7">
              <w:rPr>
                <w:rFonts w:asciiTheme="minorHAnsi" w:hAnsiTheme="minorHAnsi" w:cstheme="minorHAnsi"/>
                <w:color w:val="auto"/>
                <w:sz w:val="20"/>
                <w:szCs w:val="20"/>
              </w:rPr>
              <w:t xml:space="preserve">Through our business planning for RIIO GD2, priority customers research and stakeholders told us that tackling fuel poverty was a priority for WWU alongside raising awareness of the PSR and the dangers of CO. </w:t>
            </w:r>
          </w:p>
          <w:p w14:paraId="2541EB51" w14:textId="77777777" w:rsidR="0067227F" w:rsidRPr="001855C7" w:rsidRDefault="0067227F" w:rsidP="0067227F">
            <w:pPr>
              <w:pStyle w:val="Default"/>
              <w:rPr>
                <w:rFonts w:asciiTheme="minorHAnsi" w:hAnsiTheme="minorHAnsi" w:cstheme="minorHAnsi"/>
                <w:color w:val="auto"/>
                <w:sz w:val="20"/>
                <w:szCs w:val="20"/>
              </w:rPr>
            </w:pPr>
            <w:r w:rsidRPr="001855C7">
              <w:rPr>
                <w:rFonts w:asciiTheme="minorHAnsi" w:hAnsiTheme="minorHAnsi" w:cstheme="minorHAnsi"/>
                <w:color w:val="auto"/>
                <w:sz w:val="20"/>
                <w:szCs w:val="20"/>
              </w:rPr>
              <w:t xml:space="preserve">Our continued engagement with stakeholders such as the NEA, Citizens Advice, and charities supported by fuel poverty statistics shows due to high inflation and record energy prices that fuel poverty is impacted more homes than ever. People </w:t>
            </w:r>
            <w:r w:rsidRPr="001855C7">
              <w:rPr>
                <w:rFonts w:asciiTheme="minorHAnsi" w:hAnsiTheme="minorHAnsi" w:cstheme="minorHAnsi"/>
                <w:color w:val="auto"/>
                <w:sz w:val="20"/>
                <w:szCs w:val="20"/>
              </w:rPr>
              <w:lastRenderedPageBreak/>
              <w:t xml:space="preserve">who were struggling are now not using the heating or limiting use to unhealthy levels and appliances are not being serviced leading to future safety risks. The crisis has meant people who have never been in trouble now find themselves needing help but not knowing where to turn for advice. </w:t>
            </w:r>
          </w:p>
          <w:p w14:paraId="182B0B66" w14:textId="77777777" w:rsidR="0067227F" w:rsidRPr="001855C7" w:rsidRDefault="0067227F" w:rsidP="0067227F">
            <w:pPr>
              <w:pStyle w:val="Default"/>
              <w:rPr>
                <w:rFonts w:asciiTheme="minorHAnsi" w:hAnsiTheme="minorHAnsi" w:cstheme="minorHAnsi"/>
                <w:color w:val="auto"/>
                <w:sz w:val="20"/>
                <w:szCs w:val="20"/>
              </w:rPr>
            </w:pPr>
          </w:p>
          <w:p w14:paraId="6CED4915" w14:textId="77777777" w:rsidR="0067227F" w:rsidRPr="001855C7" w:rsidRDefault="0067227F" w:rsidP="0067227F">
            <w:pPr>
              <w:pStyle w:val="Default"/>
              <w:rPr>
                <w:rFonts w:asciiTheme="minorHAnsi" w:hAnsiTheme="minorHAnsi" w:cstheme="minorHAnsi"/>
                <w:color w:val="auto"/>
                <w:sz w:val="20"/>
                <w:szCs w:val="20"/>
              </w:rPr>
            </w:pPr>
            <w:r w:rsidRPr="001855C7">
              <w:rPr>
                <w:rFonts w:asciiTheme="minorHAnsi" w:hAnsiTheme="minorHAnsi" w:cstheme="minorHAnsi"/>
                <w:color w:val="auto"/>
                <w:sz w:val="20"/>
                <w:szCs w:val="20"/>
              </w:rPr>
              <w:t xml:space="preserve">We have tested support for projects under the VCMA which target fuel poverty through our CEG, Citizens panels, VCMA showcase events and Regional Workshops with overwhelming support to continue and do even more. </w:t>
            </w:r>
          </w:p>
          <w:p w14:paraId="1DF1F433" w14:textId="77777777" w:rsidR="001B7704" w:rsidRPr="0079337D" w:rsidRDefault="001B7704" w:rsidP="00B23BFD">
            <w:pPr>
              <w:pStyle w:val="ChartSubtitle"/>
              <w:rPr>
                <w:rFonts w:cstheme="minorHAnsi"/>
                <w:color w:val="auto"/>
                <w:szCs w:val="20"/>
              </w:rPr>
            </w:pPr>
          </w:p>
          <w:p w14:paraId="49C609E1" w14:textId="77777777" w:rsidR="001D2004" w:rsidRPr="0079337D" w:rsidRDefault="001D2004" w:rsidP="00B23BFD">
            <w:pPr>
              <w:pStyle w:val="ChartSubtitle"/>
              <w:rPr>
                <w:rFonts w:cstheme="minorHAnsi"/>
                <w:color w:val="auto"/>
                <w:szCs w:val="20"/>
              </w:rPr>
            </w:pPr>
          </w:p>
          <w:p w14:paraId="30139654" w14:textId="77777777" w:rsidR="001D2004" w:rsidRPr="001855C7" w:rsidRDefault="001D2004" w:rsidP="00B23BFD">
            <w:pPr>
              <w:pStyle w:val="ChartSubtitle"/>
              <w:rPr>
                <w:rFonts w:cstheme="minorHAnsi"/>
                <w:b/>
                <w:bCs/>
                <w:color w:val="auto"/>
                <w:szCs w:val="20"/>
                <w:u w:val="single"/>
              </w:rPr>
            </w:pPr>
            <w:r w:rsidRPr="001855C7">
              <w:rPr>
                <w:rFonts w:cstheme="minorHAnsi"/>
                <w:b/>
                <w:bCs/>
                <w:color w:val="auto"/>
                <w:szCs w:val="20"/>
                <w:u w:val="single"/>
              </w:rPr>
              <w:t>NGN Stakeholder evidence</w:t>
            </w:r>
          </w:p>
          <w:p w14:paraId="6589F627" w14:textId="77777777" w:rsidR="001B7704" w:rsidRPr="001855C7" w:rsidRDefault="001B7704" w:rsidP="00B23BFD">
            <w:pPr>
              <w:pStyle w:val="ChartSubtitle"/>
              <w:rPr>
                <w:rFonts w:cstheme="minorHAnsi"/>
                <w:color w:val="auto"/>
                <w:szCs w:val="20"/>
              </w:rPr>
            </w:pPr>
          </w:p>
          <w:p w14:paraId="5939692D" w14:textId="32B81D25" w:rsidR="001D2004" w:rsidRPr="001855C7" w:rsidRDefault="001B7704" w:rsidP="00B23BFD">
            <w:pPr>
              <w:pStyle w:val="ChartSubtitle"/>
              <w:rPr>
                <w:rFonts w:cstheme="minorHAnsi"/>
                <w:color w:val="auto"/>
                <w:szCs w:val="20"/>
              </w:rPr>
            </w:pPr>
            <w:r w:rsidRPr="001855C7">
              <w:rPr>
                <w:rFonts w:cstheme="minorHAnsi"/>
                <w:color w:val="auto"/>
                <w:szCs w:val="20"/>
              </w:rPr>
              <w:t xml:space="preserve">Our most recent stakeholder engagement throughout 2023 has informed us that financial hardship is still a key area of focus, alongside the health impacts associated with, or exacerbated by, living in cold and damp homes. Stakeholders also told </w:t>
            </w:r>
            <w:proofErr w:type="gramStart"/>
            <w:r w:rsidRPr="001855C7">
              <w:rPr>
                <w:rFonts w:cstheme="minorHAnsi"/>
                <w:color w:val="auto"/>
                <w:szCs w:val="20"/>
              </w:rPr>
              <w:t>us</w:t>
            </w:r>
            <w:proofErr w:type="gramEnd"/>
            <w:r w:rsidRPr="001855C7">
              <w:rPr>
                <w:rFonts w:cstheme="minorHAnsi"/>
                <w:color w:val="auto"/>
                <w:szCs w:val="20"/>
              </w:rPr>
              <w:t xml:space="preserve"> that increasing capacity for support within services would be key to addressing the immediate and longer-term impacts of fuel poverty and energy affordability.</w:t>
            </w:r>
          </w:p>
          <w:p w14:paraId="74991E84" w14:textId="77777777" w:rsidR="001B7704" w:rsidRPr="001855C7" w:rsidRDefault="001B7704" w:rsidP="00B23BFD">
            <w:pPr>
              <w:pStyle w:val="ChartSubtitle"/>
              <w:rPr>
                <w:rFonts w:cstheme="minorHAnsi"/>
                <w:color w:val="auto"/>
                <w:szCs w:val="20"/>
              </w:rPr>
            </w:pPr>
          </w:p>
          <w:p w14:paraId="1AD2A25A" w14:textId="6E97BF10" w:rsidR="001B7704" w:rsidRPr="0079337D" w:rsidRDefault="001B7704" w:rsidP="00B23BFD">
            <w:pPr>
              <w:pStyle w:val="ChartSubtitle"/>
              <w:rPr>
                <w:rFonts w:cstheme="minorHAnsi"/>
                <w:color w:val="auto"/>
                <w:szCs w:val="20"/>
              </w:rPr>
            </w:pPr>
            <w:r w:rsidRPr="0079337D">
              <w:rPr>
                <w:rFonts w:cstheme="minorHAnsi"/>
                <w:color w:val="auto"/>
                <w:szCs w:val="20"/>
              </w:rPr>
              <w:t xml:space="preserve">Financial hardship </w:t>
            </w:r>
            <w:r w:rsidRPr="001855C7">
              <w:rPr>
                <w:rFonts w:cstheme="minorHAnsi"/>
                <w:color w:val="auto"/>
                <w:szCs w:val="20"/>
              </w:rPr>
              <w:t>has</w:t>
            </w:r>
            <w:r w:rsidRPr="0079337D">
              <w:rPr>
                <w:rFonts w:cstheme="minorHAnsi"/>
                <w:color w:val="auto"/>
                <w:szCs w:val="20"/>
              </w:rPr>
              <w:t xml:space="preserve"> continued to be the dimension of vulnerability that most customers prioritised, with more customers in the most recent survey selecting this as their top priority. </w:t>
            </w:r>
          </w:p>
          <w:p w14:paraId="3720AC11" w14:textId="77777777" w:rsidR="001B7704" w:rsidRPr="001855C7" w:rsidRDefault="001B7704" w:rsidP="00B23BFD">
            <w:pPr>
              <w:pStyle w:val="ChartSubtitle"/>
              <w:rPr>
                <w:rFonts w:cstheme="minorHAnsi"/>
                <w:color w:val="auto"/>
                <w:szCs w:val="20"/>
              </w:rPr>
            </w:pPr>
          </w:p>
          <w:p w14:paraId="77A9D144" w14:textId="77777777" w:rsidR="001B7704" w:rsidRPr="001855C7" w:rsidRDefault="001B7704" w:rsidP="001B7704">
            <w:pPr>
              <w:rPr>
                <w:rFonts w:cstheme="minorHAnsi"/>
                <w:color w:val="auto"/>
                <w:sz w:val="20"/>
                <w:szCs w:val="20"/>
              </w:rPr>
            </w:pPr>
            <w:r w:rsidRPr="001855C7">
              <w:rPr>
                <w:rFonts w:cstheme="minorHAnsi"/>
                <w:color w:val="auto"/>
                <w:sz w:val="20"/>
                <w:szCs w:val="20"/>
              </w:rPr>
              <w:t>CIVS Annual Strategic Workshop – April 2023</w:t>
            </w:r>
          </w:p>
          <w:p w14:paraId="196F53AD" w14:textId="192B94E2" w:rsidR="001B7704" w:rsidRPr="001855C7" w:rsidRDefault="001B7704" w:rsidP="0079337D">
            <w:pPr>
              <w:spacing w:after="160" w:line="259" w:lineRule="auto"/>
              <w:rPr>
                <w:rFonts w:cstheme="minorHAnsi"/>
                <w:color w:val="auto"/>
                <w:sz w:val="20"/>
                <w:szCs w:val="20"/>
              </w:rPr>
            </w:pPr>
            <w:r w:rsidRPr="001855C7">
              <w:rPr>
                <w:rFonts w:cstheme="minorHAnsi"/>
                <w:color w:val="auto"/>
                <w:sz w:val="20"/>
                <w:szCs w:val="20"/>
              </w:rPr>
              <w:t>Stakeholder’s number one priority for the next 12 months was to invest all available allowances to deliver maximum benefit.</w:t>
            </w:r>
          </w:p>
          <w:p w14:paraId="4DFA3A00" w14:textId="59EE0B88" w:rsidR="001B7704" w:rsidRPr="001855C7" w:rsidRDefault="001B7704" w:rsidP="0079337D">
            <w:pPr>
              <w:spacing w:line="240" w:lineRule="auto"/>
              <w:rPr>
                <w:rFonts w:cstheme="minorHAnsi"/>
                <w:color w:val="auto"/>
                <w:sz w:val="20"/>
                <w:szCs w:val="20"/>
              </w:rPr>
            </w:pPr>
            <w:r w:rsidRPr="001855C7">
              <w:rPr>
                <w:rFonts w:cstheme="minorHAnsi"/>
                <w:color w:val="auto"/>
                <w:sz w:val="20"/>
                <w:szCs w:val="20"/>
              </w:rPr>
              <w:t>Stakeholders said NGN need to support people to (affordably), be able to keep their home safe and warm. Financial hardship is giving great cause for concern. </w:t>
            </w:r>
          </w:p>
          <w:p w14:paraId="4D931CCD" w14:textId="1E749509" w:rsidR="001D2004" w:rsidRPr="001855C7" w:rsidRDefault="001D2004" w:rsidP="00B23BFD">
            <w:pPr>
              <w:pStyle w:val="ChartSubtitle"/>
              <w:rPr>
                <w:rFonts w:cstheme="minorHAnsi"/>
                <w:color w:val="auto"/>
                <w:szCs w:val="20"/>
              </w:rPr>
            </w:pPr>
          </w:p>
        </w:tc>
      </w:tr>
      <w:tr w:rsidR="003115F2" w:rsidRPr="00E52F9E" w14:paraId="12EA504F" w14:textId="77777777" w:rsidTr="00182BE2">
        <w:trPr>
          <w:trHeight w:val="239"/>
        </w:trPr>
        <w:tc>
          <w:tcPr>
            <w:tcW w:w="1476" w:type="pct"/>
          </w:tcPr>
          <w:p w14:paraId="104E4EB0" w14:textId="4DC537B5" w:rsidR="00BA125F" w:rsidRPr="00E52F9E" w:rsidRDefault="00A85043" w:rsidP="00BA125F">
            <w:pPr>
              <w:pStyle w:val="ChartSubtitle"/>
              <w:rPr>
                <w:rFonts w:cstheme="minorHAnsi"/>
                <w:b/>
                <w:color w:val="auto"/>
                <w:szCs w:val="20"/>
              </w:rPr>
            </w:pPr>
            <w:r w:rsidRPr="00E52F9E">
              <w:rPr>
                <w:rFonts w:cstheme="minorHAnsi"/>
                <w:b/>
                <w:color w:val="auto"/>
                <w:szCs w:val="20"/>
              </w:rPr>
              <w:lastRenderedPageBreak/>
              <w:t xml:space="preserve">Outcomes, Associated Actions and </w:t>
            </w:r>
            <w:r w:rsidR="00296FC7" w:rsidRPr="00E52F9E">
              <w:rPr>
                <w:rFonts w:cstheme="minorHAnsi"/>
                <w:b/>
                <w:color w:val="auto"/>
                <w:szCs w:val="20"/>
              </w:rPr>
              <w:t>Success Criteria</w:t>
            </w:r>
          </w:p>
          <w:p w14:paraId="58BA80C3" w14:textId="48F5947D" w:rsidR="00BA125F" w:rsidRPr="00E52F9E" w:rsidRDefault="00BA125F" w:rsidP="00BA125F">
            <w:pPr>
              <w:pStyle w:val="ChartSubtitle"/>
              <w:rPr>
                <w:rFonts w:cstheme="minorHAnsi"/>
                <w:b/>
                <w:color w:val="auto"/>
                <w:szCs w:val="20"/>
              </w:rPr>
            </w:pPr>
          </w:p>
        </w:tc>
        <w:tc>
          <w:tcPr>
            <w:tcW w:w="3524" w:type="pct"/>
          </w:tcPr>
          <w:p w14:paraId="2A24E9AC" w14:textId="4765B29A" w:rsidR="00DC5219" w:rsidRPr="00E52F9E" w:rsidRDefault="00DC5219" w:rsidP="2C10E815">
            <w:pPr>
              <w:pStyle w:val="ChartSubtitle"/>
              <w:rPr>
                <w:rFonts w:cstheme="minorHAnsi"/>
                <w:color w:val="auto"/>
                <w:szCs w:val="20"/>
              </w:rPr>
            </w:pPr>
            <w:r w:rsidRPr="00E52F9E">
              <w:rPr>
                <w:rFonts w:cstheme="minorHAnsi"/>
                <w:color w:val="auto"/>
                <w:szCs w:val="20"/>
              </w:rPr>
              <w:t xml:space="preserve">The partnership with </w:t>
            </w:r>
            <w:r w:rsidR="007C382F" w:rsidRPr="00E52F9E">
              <w:rPr>
                <w:rFonts w:cstheme="minorHAnsi"/>
                <w:color w:val="auto"/>
                <w:szCs w:val="20"/>
              </w:rPr>
              <w:t>IE Hub</w:t>
            </w:r>
            <w:r w:rsidRPr="00E52F9E">
              <w:rPr>
                <w:rFonts w:cstheme="minorHAnsi"/>
                <w:color w:val="auto"/>
                <w:szCs w:val="20"/>
              </w:rPr>
              <w:t xml:space="preserve"> will allow </w:t>
            </w:r>
            <w:r w:rsidR="00D65CB4" w:rsidRPr="00E52F9E">
              <w:rPr>
                <w:rFonts w:cstheme="minorHAnsi"/>
                <w:color w:val="auto"/>
                <w:szCs w:val="20"/>
              </w:rPr>
              <w:t>the GDNs</w:t>
            </w:r>
            <w:r w:rsidR="00894B4C" w:rsidRPr="00E52F9E">
              <w:rPr>
                <w:rFonts w:cstheme="minorHAnsi"/>
                <w:color w:val="auto"/>
                <w:szCs w:val="20"/>
              </w:rPr>
              <w:t>’</w:t>
            </w:r>
            <w:r w:rsidRPr="00E52F9E">
              <w:rPr>
                <w:rFonts w:cstheme="minorHAnsi"/>
                <w:color w:val="auto"/>
                <w:szCs w:val="20"/>
              </w:rPr>
              <w:t xml:space="preserve"> to suppor</w:t>
            </w:r>
            <w:r w:rsidR="0071083D" w:rsidRPr="00E52F9E">
              <w:rPr>
                <w:rFonts w:cstheme="minorHAnsi"/>
                <w:color w:val="auto"/>
                <w:szCs w:val="20"/>
              </w:rPr>
              <w:t>t</w:t>
            </w:r>
            <w:r w:rsidRPr="00E52F9E">
              <w:rPr>
                <w:rFonts w:cstheme="minorHAnsi"/>
                <w:color w:val="auto"/>
                <w:szCs w:val="20"/>
              </w:rPr>
              <w:t xml:space="preserve"> fuel poor households</w:t>
            </w:r>
            <w:r w:rsidR="007C382F" w:rsidRPr="00E52F9E">
              <w:rPr>
                <w:rFonts w:cstheme="minorHAnsi"/>
                <w:color w:val="auto"/>
                <w:szCs w:val="20"/>
              </w:rPr>
              <w:t xml:space="preserve"> by offering the IE Hub to their customers to help them manage their budget and gain access to benefits and social tariffs. </w:t>
            </w:r>
            <w:r w:rsidR="009D13E9" w:rsidRPr="00E52F9E">
              <w:rPr>
                <w:rFonts w:cstheme="minorHAnsi"/>
                <w:color w:val="auto"/>
                <w:szCs w:val="20"/>
              </w:rPr>
              <w:t>Individuals</w:t>
            </w:r>
            <w:r w:rsidRPr="00E52F9E">
              <w:rPr>
                <w:rFonts w:cstheme="minorHAnsi"/>
                <w:color w:val="auto"/>
                <w:szCs w:val="20"/>
              </w:rPr>
              <w:t xml:space="preserve"> will receive</w:t>
            </w:r>
            <w:r w:rsidR="007C382F" w:rsidRPr="00E52F9E">
              <w:rPr>
                <w:rFonts w:cstheme="minorHAnsi"/>
                <w:color w:val="auto"/>
                <w:szCs w:val="20"/>
              </w:rPr>
              <w:t xml:space="preserve"> </w:t>
            </w:r>
            <w:proofErr w:type="gramStart"/>
            <w:r w:rsidR="009A1AEA" w:rsidRPr="00E52F9E">
              <w:rPr>
                <w:rFonts w:cstheme="minorHAnsi"/>
                <w:color w:val="auto"/>
                <w:szCs w:val="20"/>
              </w:rPr>
              <w:t>advice,</w:t>
            </w:r>
            <w:proofErr w:type="gramEnd"/>
            <w:r w:rsidR="009A1AEA" w:rsidRPr="00E52F9E">
              <w:rPr>
                <w:rFonts w:cstheme="minorHAnsi"/>
                <w:color w:val="auto"/>
                <w:szCs w:val="20"/>
              </w:rPr>
              <w:t xml:space="preserve"> benefit</w:t>
            </w:r>
            <w:r w:rsidRPr="00E52F9E">
              <w:rPr>
                <w:rFonts w:cstheme="minorHAnsi"/>
                <w:color w:val="auto"/>
                <w:szCs w:val="20"/>
              </w:rPr>
              <w:t xml:space="preserve"> entitlement checks</w:t>
            </w:r>
            <w:r w:rsidR="007C382F" w:rsidRPr="00E52F9E">
              <w:rPr>
                <w:rFonts w:cstheme="minorHAnsi"/>
                <w:color w:val="auto"/>
                <w:szCs w:val="20"/>
              </w:rPr>
              <w:t xml:space="preserve"> and CO and PSR awareness through the online tool.</w:t>
            </w:r>
          </w:p>
          <w:p w14:paraId="65254360" w14:textId="77777777" w:rsidR="00DC5219" w:rsidRPr="00E52F9E" w:rsidRDefault="00DC5219" w:rsidP="00B23BFD">
            <w:pPr>
              <w:pStyle w:val="ChartSubtitle"/>
              <w:rPr>
                <w:rFonts w:cstheme="minorHAnsi"/>
                <w:color w:val="auto"/>
                <w:szCs w:val="20"/>
              </w:rPr>
            </w:pPr>
          </w:p>
          <w:p w14:paraId="6196962F" w14:textId="415DE277" w:rsidR="00DC5219" w:rsidRPr="00E52F9E" w:rsidRDefault="00DC5219" w:rsidP="2C10E815">
            <w:pPr>
              <w:pStyle w:val="ChartSubtitle"/>
              <w:rPr>
                <w:rFonts w:cstheme="minorHAnsi"/>
                <w:color w:val="auto"/>
                <w:szCs w:val="20"/>
              </w:rPr>
            </w:pPr>
            <w:r w:rsidRPr="00E52F9E">
              <w:rPr>
                <w:rFonts w:cstheme="minorHAnsi"/>
                <w:color w:val="auto"/>
                <w:szCs w:val="20"/>
              </w:rPr>
              <w:t>The funding</w:t>
            </w:r>
            <w:r w:rsidR="009D13E9" w:rsidRPr="00E52F9E">
              <w:rPr>
                <w:rFonts w:cstheme="minorHAnsi"/>
                <w:color w:val="auto"/>
                <w:szCs w:val="20"/>
              </w:rPr>
              <w:t xml:space="preserve"> </w:t>
            </w:r>
            <w:r w:rsidR="007C382F" w:rsidRPr="00E52F9E">
              <w:rPr>
                <w:rFonts w:cstheme="minorHAnsi"/>
                <w:color w:val="auto"/>
                <w:szCs w:val="20"/>
              </w:rPr>
              <w:t xml:space="preserve">will enable IE Hub </w:t>
            </w:r>
            <w:r w:rsidRPr="00E52F9E">
              <w:rPr>
                <w:rFonts w:cstheme="minorHAnsi"/>
                <w:color w:val="auto"/>
                <w:szCs w:val="20"/>
              </w:rPr>
              <w:t xml:space="preserve">to </w:t>
            </w:r>
            <w:r w:rsidR="00855E28" w:rsidRPr="00E52F9E">
              <w:rPr>
                <w:rFonts w:cstheme="minorHAnsi"/>
                <w:color w:val="auto"/>
                <w:szCs w:val="20"/>
              </w:rPr>
              <w:t>ramp up</w:t>
            </w:r>
            <w:r w:rsidRPr="00E52F9E">
              <w:rPr>
                <w:rFonts w:cstheme="minorHAnsi"/>
                <w:color w:val="auto"/>
                <w:szCs w:val="20"/>
              </w:rPr>
              <w:t xml:space="preserve"> its existing support for </w:t>
            </w:r>
            <w:r w:rsidR="007C382F" w:rsidRPr="00E52F9E">
              <w:rPr>
                <w:rFonts w:cstheme="minorHAnsi"/>
                <w:color w:val="auto"/>
                <w:szCs w:val="20"/>
              </w:rPr>
              <w:t>customers</w:t>
            </w:r>
            <w:r w:rsidR="00855E28" w:rsidRPr="00E52F9E">
              <w:rPr>
                <w:rFonts w:cstheme="minorHAnsi"/>
                <w:color w:val="auto"/>
                <w:szCs w:val="20"/>
              </w:rPr>
              <w:t xml:space="preserve"> </w:t>
            </w:r>
            <w:r w:rsidRPr="00E52F9E">
              <w:rPr>
                <w:rFonts w:cstheme="minorHAnsi"/>
                <w:color w:val="auto"/>
                <w:szCs w:val="20"/>
              </w:rPr>
              <w:t>in vulnerable situations</w:t>
            </w:r>
            <w:r w:rsidR="007C382F" w:rsidRPr="00E52F9E">
              <w:rPr>
                <w:rFonts w:cstheme="minorHAnsi"/>
                <w:color w:val="auto"/>
                <w:szCs w:val="20"/>
              </w:rPr>
              <w:t xml:space="preserve"> residing on all GDN </w:t>
            </w:r>
            <w:r w:rsidR="009A1AEA" w:rsidRPr="00E52F9E">
              <w:rPr>
                <w:rFonts w:cstheme="minorHAnsi"/>
                <w:color w:val="auto"/>
                <w:szCs w:val="20"/>
              </w:rPr>
              <w:t>networks. It</w:t>
            </w:r>
            <w:r w:rsidR="0071083D" w:rsidRPr="00E52F9E">
              <w:rPr>
                <w:rFonts w:cstheme="minorHAnsi"/>
                <w:color w:val="auto"/>
                <w:szCs w:val="20"/>
              </w:rPr>
              <w:t xml:space="preserve"> will also give them the consistency of offering the same support across all areas covered.</w:t>
            </w:r>
          </w:p>
          <w:p w14:paraId="590C78DD" w14:textId="5099A418" w:rsidR="00BA125F" w:rsidRPr="00E52F9E" w:rsidRDefault="00BA125F" w:rsidP="00B23BFD">
            <w:pPr>
              <w:pStyle w:val="ChartSubtitle"/>
              <w:rPr>
                <w:rFonts w:cstheme="minorHAnsi"/>
                <w:color w:val="auto"/>
                <w:szCs w:val="20"/>
              </w:rPr>
            </w:pPr>
          </w:p>
          <w:p w14:paraId="296AC74C" w14:textId="77777777" w:rsidR="00046A45" w:rsidRPr="00E52F9E" w:rsidRDefault="00046A45" w:rsidP="00B23BFD">
            <w:pPr>
              <w:pStyle w:val="ChartSubtitle"/>
              <w:rPr>
                <w:rFonts w:cstheme="minorHAnsi"/>
                <w:color w:val="auto"/>
                <w:szCs w:val="20"/>
                <w:u w:val="single"/>
              </w:rPr>
            </w:pPr>
            <w:r w:rsidRPr="00E52F9E">
              <w:rPr>
                <w:rFonts w:cstheme="minorHAnsi"/>
                <w:color w:val="auto"/>
                <w:szCs w:val="20"/>
                <w:u w:val="single"/>
              </w:rPr>
              <w:t>Project Outcomes</w:t>
            </w:r>
          </w:p>
          <w:p w14:paraId="006C74F9" w14:textId="77777777" w:rsidR="00046A45" w:rsidRPr="00E52F9E" w:rsidRDefault="00046A45" w:rsidP="00B23BFD">
            <w:pPr>
              <w:pStyle w:val="ChartSubtitle"/>
              <w:rPr>
                <w:rFonts w:cstheme="minorHAnsi"/>
                <w:color w:val="auto"/>
                <w:szCs w:val="20"/>
                <w:u w:val="single"/>
              </w:rPr>
            </w:pPr>
          </w:p>
          <w:p w14:paraId="44B5223B" w14:textId="755371D9" w:rsidR="000B45B7" w:rsidRPr="00E52F9E" w:rsidRDefault="00046A45" w:rsidP="000B45B7">
            <w:pPr>
              <w:pStyle w:val="ChartSubtitle"/>
              <w:rPr>
                <w:rFonts w:cstheme="minorHAnsi"/>
                <w:color w:val="auto"/>
                <w:szCs w:val="20"/>
              </w:rPr>
            </w:pPr>
            <w:r w:rsidRPr="00E52F9E">
              <w:rPr>
                <w:rFonts w:cstheme="minorHAnsi"/>
                <w:color w:val="auto"/>
                <w:szCs w:val="20"/>
              </w:rPr>
              <w:t xml:space="preserve">The </w:t>
            </w:r>
            <w:r w:rsidR="003B0AFA" w:rsidRPr="00E52F9E">
              <w:rPr>
                <w:rFonts w:cstheme="minorHAnsi"/>
                <w:color w:val="auto"/>
                <w:szCs w:val="20"/>
              </w:rPr>
              <w:t>project aims to provide customers with income maximisation advice and a pathway towards financial stability.</w:t>
            </w:r>
            <w:r w:rsidR="000B45B7" w:rsidRPr="00E52F9E">
              <w:rPr>
                <w:rFonts w:cstheme="minorHAnsi"/>
                <w:color w:val="auto"/>
                <w:szCs w:val="20"/>
              </w:rPr>
              <w:t xml:space="preserve"> Overall, the project aims to achieve the following outcomes: </w:t>
            </w:r>
          </w:p>
          <w:p w14:paraId="73EF07D3" w14:textId="77777777" w:rsidR="000B45B7" w:rsidRPr="00E52F9E" w:rsidRDefault="000B45B7" w:rsidP="000B45B7">
            <w:pPr>
              <w:pStyle w:val="ChartSubtitle"/>
              <w:rPr>
                <w:rFonts w:cstheme="minorHAnsi"/>
                <w:color w:val="auto"/>
                <w:szCs w:val="20"/>
              </w:rPr>
            </w:pPr>
          </w:p>
          <w:p w14:paraId="340C140D" w14:textId="136E93BE" w:rsidR="000B45B7" w:rsidRPr="00E52F9E" w:rsidRDefault="000B45B7" w:rsidP="000B45B7">
            <w:pPr>
              <w:pStyle w:val="ChartSubtitle"/>
              <w:numPr>
                <w:ilvl w:val="0"/>
                <w:numId w:val="33"/>
              </w:numPr>
              <w:spacing w:line="240" w:lineRule="auto"/>
              <w:jc w:val="both"/>
              <w:rPr>
                <w:rFonts w:cstheme="minorHAnsi"/>
                <w:color w:val="auto"/>
                <w:szCs w:val="20"/>
              </w:rPr>
            </w:pPr>
            <w:r w:rsidRPr="00E52F9E">
              <w:rPr>
                <w:rFonts w:cstheme="minorHAnsi"/>
                <w:color w:val="auto"/>
                <w:szCs w:val="20"/>
              </w:rPr>
              <w:t xml:space="preserve">An increased awareness </w:t>
            </w:r>
            <w:r w:rsidR="00D960AD">
              <w:rPr>
                <w:rFonts w:cstheme="minorHAnsi"/>
                <w:color w:val="auto"/>
                <w:szCs w:val="20"/>
              </w:rPr>
              <w:t>amongst the</w:t>
            </w:r>
            <w:r w:rsidR="00D960AD" w:rsidRPr="00E52F9E">
              <w:rPr>
                <w:rFonts w:cstheme="minorHAnsi"/>
                <w:color w:val="auto"/>
                <w:szCs w:val="20"/>
              </w:rPr>
              <w:t xml:space="preserve"> </w:t>
            </w:r>
            <w:r w:rsidR="007905A6" w:rsidRPr="00E52F9E">
              <w:rPr>
                <w:rFonts w:cstheme="minorHAnsi"/>
                <w:color w:val="auto"/>
                <w:szCs w:val="20"/>
              </w:rPr>
              <w:t>GDN’s</w:t>
            </w:r>
            <w:r w:rsidRPr="00E52F9E">
              <w:rPr>
                <w:rFonts w:cstheme="minorHAnsi"/>
                <w:color w:val="auto"/>
                <w:szCs w:val="20"/>
              </w:rPr>
              <w:t xml:space="preserve"> customers of the financial support that households are entitled to. </w:t>
            </w:r>
          </w:p>
          <w:p w14:paraId="4E6A0DDD" w14:textId="77777777" w:rsidR="000B45B7" w:rsidRPr="00E52F9E" w:rsidRDefault="000B45B7" w:rsidP="000B45B7">
            <w:pPr>
              <w:pStyle w:val="ChartSubtitle"/>
              <w:ind w:left="720"/>
              <w:rPr>
                <w:rFonts w:cstheme="minorHAnsi"/>
                <w:color w:val="auto"/>
                <w:szCs w:val="20"/>
              </w:rPr>
            </w:pPr>
          </w:p>
          <w:p w14:paraId="754ABDB1" w14:textId="5C113DB6" w:rsidR="009A1AEA" w:rsidRPr="00E52F9E" w:rsidRDefault="000B45B7" w:rsidP="2C10E815">
            <w:pPr>
              <w:rPr>
                <w:rFonts w:cstheme="minorHAnsi"/>
                <w:color w:val="auto"/>
                <w:sz w:val="20"/>
                <w:szCs w:val="20"/>
              </w:rPr>
            </w:pPr>
            <w:r w:rsidRPr="00E52F9E">
              <w:rPr>
                <w:rFonts w:cstheme="minorHAnsi"/>
                <w:color w:val="auto"/>
                <w:sz w:val="20"/>
                <w:szCs w:val="20"/>
              </w:rPr>
              <w:t>Customers utilise the IE Hub digital tool to access their eligibility for benefits, in turn maximising their disposable household income</w:t>
            </w:r>
            <w:r w:rsidR="063F5E12" w:rsidRPr="00E52F9E">
              <w:rPr>
                <w:rFonts w:cstheme="minorHAnsi"/>
                <w:color w:val="auto"/>
                <w:sz w:val="20"/>
                <w:szCs w:val="20"/>
              </w:rPr>
              <w:t xml:space="preserve">. </w:t>
            </w:r>
          </w:p>
          <w:p w14:paraId="0DF8FE13" w14:textId="693B590F" w:rsidR="003B0AFA" w:rsidRPr="00E52F9E" w:rsidRDefault="007905A6" w:rsidP="00182BE2">
            <w:pPr>
              <w:pStyle w:val="ChartSubtitle"/>
              <w:ind w:left="720"/>
              <w:rPr>
                <w:rFonts w:cstheme="minorHAnsi"/>
                <w:color w:val="auto"/>
                <w:szCs w:val="20"/>
              </w:rPr>
            </w:pPr>
            <w:r w:rsidRPr="00E52F9E" w:rsidDel="007905A6">
              <w:rPr>
                <w:rFonts w:cstheme="minorHAnsi"/>
                <w:color w:val="auto"/>
                <w:szCs w:val="20"/>
              </w:rPr>
              <w:t xml:space="preserve"> </w:t>
            </w:r>
          </w:p>
          <w:p w14:paraId="2437D693" w14:textId="77777777" w:rsidR="003B0AFA" w:rsidRPr="00E52F9E" w:rsidRDefault="003B0AFA" w:rsidP="00182BE2">
            <w:pPr>
              <w:pStyle w:val="ChartSubtitle"/>
              <w:numPr>
                <w:ilvl w:val="0"/>
                <w:numId w:val="25"/>
              </w:numPr>
              <w:rPr>
                <w:rFonts w:cstheme="minorHAnsi"/>
                <w:color w:val="auto"/>
                <w:szCs w:val="20"/>
              </w:rPr>
            </w:pPr>
            <w:r w:rsidRPr="00E52F9E">
              <w:rPr>
                <w:rFonts w:cstheme="minorHAnsi"/>
                <w:color w:val="auto"/>
                <w:szCs w:val="20"/>
              </w:rPr>
              <w:t xml:space="preserve">Customers will increase their levels of awareness on the signs, symptoms, and dangers of CO. </w:t>
            </w:r>
          </w:p>
          <w:p w14:paraId="0D2F9DAC" w14:textId="77777777" w:rsidR="003B0AFA" w:rsidRPr="00E52F9E" w:rsidRDefault="003B0AFA" w:rsidP="003B0AFA">
            <w:pPr>
              <w:pStyle w:val="ListParagraph"/>
              <w:spacing w:line="240" w:lineRule="auto"/>
              <w:rPr>
                <w:rFonts w:cstheme="minorHAnsi"/>
                <w:color w:val="auto"/>
                <w:sz w:val="20"/>
                <w:szCs w:val="20"/>
              </w:rPr>
            </w:pPr>
          </w:p>
          <w:p w14:paraId="76C081E8" w14:textId="4B7099D2" w:rsidR="003B0AFA" w:rsidRPr="00E52F9E" w:rsidRDefault="003B0AFA" w:rsidP="2C10E815">
            <w:pPr>
              <w:pStyle w:val="ChartSubtitle"/>
              <w:numPr>
                <w:ilvl w:val="0"/>
                <w:numId w:val="25"/>
              </w:numPr>
              <w:spacing w:line="240" w:lineRule="auto"/>
              <w:jc w:val="both"/>
              <w:rPr>
                <w:rFonts w:cstheme="minorHAnsi"/>
                <w:color w:val="auto"/>
                <w:szCs w:val="20"/>
              </w:rPr>
            </w:pPr>
            <w:r w:rsidRPr="00E52F9E">
              <w:rPr>
                <w:rFonts w:cstheme="minorHAnsi"/>
                <w:color w:val="auto"/>
                <w:szCs w:val="20"/>
              </w:rPr>
              <w:t>Project clients will improve their understanding on the benefits of the PSR and the route to register</w:t>
            </w:r>
            <w:r w:rsidR="340D8848" w:rsidRPr="00E52F9E">
              <w:rPr>
                <w:rFonts w:cstheme="minorHAnsi"/>
                <w:color w:val="auto"/>
                <w:szCs w:val="20"/>
              </w:rPr>
              <w:t xml:space="preserve">. </w:t>
            </w:r>
          </w:p>
          <w:p w14:paraId="5244AAD9" w14:textId="77777777" w:rsidR="003B0AFA" w:rsidRPr="00E52F9E" w:rsidRDefault="003B0AFA" w:rsidP="003B0AFA">
            <w:pPr>
              <w:pStyle w:val="ListParagraph"/>
              <w:rPr>
                <w:rFonts w:cstheme="minorHAnsi"/>
                <w:color w:val="auto"/>
                <w:sz w:val="20"/>
                <w:szCs w:val="20"/>
              </w:rPr>
            </w:pPr>
          </w:p>
          <w:p w14:paraId="16498F6A" w14:textId="72B8DDB6" w:rsidR="00046A45" w:rsidRPr="00E52F9E" w:rsidRDefault="00046A45" w:rsidP="003B0AFA">
            <w:pPr>
              <w:pStyle w:val="ChartSubtitle"/>
              <w:ind w:left="720"/>
              <w:rPr>
                <w:rFonts w:cstheme="minorHAnsi"/>
                <w:color w:val="auto"/>
                <w:szCs w:val="20"/>
                <w:u w:val="single"/>
              </w:rPr>
            </w:pPr>
            <w:r w:rsidRPr="00E52F9E">
              <w:rPr>
                <w:rFonts w:cstheme="minorHAnsi"/>
                <w:color w:val="auto"/>
                <w:szCs w:val="20"/>
                <w:u w:val="single"/>
              </w:rPr>
              <w:t xml:space="preserve">Associated Actions </w:t>
            </w:r>
          </w:p>
          <w:p w14:paraId="1F0F9114" w14:textId="77777777" w:rsidR="00046A45" w:rsidRPr="00E52F9E" w:rsidRDefault="00046A45" w:rsidP="00B23BFD">
            <w:pPr>
              <w:pStyle w:val="ChartSubtitle"/>
              <w:rPr>
                <w:rFonts w:cstheme="minorHAnsi"/>
                <w:color w:val="auto"/>
                <w:szCs w:val="20"/>
              </w:rPr>
            </w:pPr>
          </w:p>
          <w:p w14:paraId="7759CE59" w14:textId="4D575B91" w:rsidR="003B0AFA" w:rsidRPr="00E52F9E" w:rsidRDefault="003B0AFA" w:rsidP="003B0AFA">
            <w:pPr>
              <w:pStyle w:val="ChartSubtitle"/>
              <w:numPr>
                <w:ilvl w:val="0"/>
                <w:numId w:val="33"/>
              </w:numPr>
              <w:spacing w:line="240" w:lineRule="auto"/>
              <w:jc w:val="both"/>
              <w:rPr>
                <w:rFonts w:cstheme="minorHAnsi"/>
                <w:color w:val="auto"/>
                <w:szCs w:val="20"/>
              </w:rPr>
            </w:pPr>
            <w:r w:rsidRPr="00E52F9E">
              <w:rPr>
                <w:rFonts w:cstheme="minorHAnsi"/>
                <w:color w:val="auto"/>
                <w:szCs w:val="20"/>
              </w:rPr>
              <w:t xml:space="preserve">The GDNs will embed the IE Hub digital tool into their websites to provide an accessible and efficient means for customers to receive financial support. </w:t>
            </w:r>
          </w:p>
          <w:p w14:paraId="1E4F720F" w14:textId="77777777" w:rsidR="003B0AFA" w:rsidRPr="00E52F9E" w:rsidRDefault="003B0AFA" w:rsidP="003B0AFA">
            <w:pPr>
              <w:pStyle w:val="ChartSubtitle"/>
              <w:rPr>
                <w:rFonts w:cstheme="minorHAnsi"/>
                <w:color w:val="auto"/>
                <w:szCs w:val="20"/>
              </w:rPr>
            </w:pPr>
          </w:p>
          <w:p w14:paraId="68D77BF1" w14:textId="25037C1D" w:rsidR="003B0AFA" w:rsidRPr="00E52F9E" w:rsidRDefault="003B0AFA" w:rsidP="2C10E815">
            <w:pPr>
              <w:pStyle w:val="ChartSubtitle"/>
              <w:numPr>
                <w:ilvl w:val="0"/>
                <w:numId w:val="33"/>
              </w:numPr>
              <w:spacing w:line="240" w:lineRule="auto"/>
              <w:jc w:val="both"/>
              <w:rPr>
                <w:rFonts w:cstheme="minorHAnsi"/>
                <w:color w:val="auto"/>
                <w:szCs w:val="20"/>
              </w:rPr>
            </w:pPr>
            <w:r w:rsidRPr="00E52F9E">
              <w:rPr>
                <w:rFonts w:cstheme="minorHAnsi"/>
                <w:color w:val="auto"/>
                <w:szCs w:val="20"/>
              </w:rPr>
              <w:t xml:space="preserve">They will amplify the customer communications relating to the IE Hub tool through their internal/external comms channels and </w:t>
            </w:r>
            <w:r w:rsidR="000B45B7" w:rsidRPr="00E52F9E">
              <w:rPr>
                <w:rFonts w:cstheme="minorHAnsi"/>
                <w:color w:val="auto"/>
                <w:szCs w:val="20"/>
              </w:rPr>
              <w:t>p</w:t>
            </w:r>
            <w:r w:rsidR="008C6993" w:rsidRPr="00E52F9E">
              <w:rPr>
                <w:rFonts w:cstheme="minorHAnsi"/>
                <w:color w:val="auto"/>
                <w:szCs w:val="20"/>
              </w:rPr>
              <w:t>rojects.</w:t>
            </w:r>
          </w:p>
          <w:p w14:paraId="2DBACC3B" w14:textId="77777777" w:rsidR="003B0AFA" w:rsidRPr="00E52F9E" w:rsidRDefault="003B0AFA" w:rsidP="003B0AFA">
            <w:pPr>
              <w:pStyle w:val="ChartSubtitle"/>
              <w:rPr>
                <w:rFonts w:cstheme="minorHAnsi"/>
                <w:color w:val="auto"/>
                <w:szCs w:val="20"/>
              </w:rPr>
            </w:pPr>
          </w:p>
          <w:p w14:paraId="7239BAB0" w14:textId="7512DC2B" w:rsidR="003B0AFA" w:rsidRPr="00E52F9E" w:rsidRDefault="003B0AFA" w:rsidP="003B0AFA">
            <w:pPr>
              <w:pStyle w:val="ChartSubtitle"/>
              <w:numPr>
                <w:ilvl w:val="0"/>
                <w:numId w:val="33"/>
              </w:numPr>
              <w:spacing w:line="240" w:lineRule="auto"/>
              <w:jc w:val="both"/>
              <w:rPr>
                <w:rFonts w:cstheme="minorHAnsi"/>
                <w:color w:val="auto"/>
                <w:szCs w:val="20"/>
              </w:rPr>
            </w:pPr>
            <w:r w:rsidRPr="00E52F9E">
              <w:rPr>
                <w:rFonts w:cstheme="minorHAnsi"/>
                <w:color w:val="auto"/>
                <w:szCs w:val="20"/>
              </w:rPr>
              <w:t>IE Hub will measure the impact by reporting to the GDNs on:</w:t>
            </w:r>
          </w:p>
          <w:p w14:paraId="2BBBE82D" w14:textId="77777777" w:rsidR="003B0AFA" w:rsidRPr="00E52F9E" w:rsidRDefault="003B0AFA" w:rsidP="003B0AFA">
            <w:pPr>
              <w:pStyle w:val="ListParagraph"/>
              <w:spacing w:line="240" w:lineRule="auto"/>
              <w:rPr>
                <w:rFonts w:cstheme="minorHAnsi"/>
                <w:color w:val="auto"/>
                <w:sz w:val="20"/>
                <w:szCs w:val="20"/>
              </w:rPr>
            </w:pPr>
          </w:p>
          <w:p w14:paraId="62C6D219" w14:textId="6772CC53" w:rsidR="003B0AFA" w:rsidRPr="00E52F9E" w:rsidRDefault="003B0AFA" w:rsidP="003B0AFA">
            <w:pPr>
              <w:pStyle w:val="ChartSubtitle"/>
              <w:numPr>
                <w:ilvl w:val="1"/>
                <w:numId w:val="33"/>
              </w:numPr>
              <w:spacing w:line="240" w:lineRule="auto"/>
              <w:jc w:val="both"/>
              <w:rPr>
                <w:rFonts w:cstheme="minorHAnsi"/>
                <w:color w:val="auto"/>
                <w:szCs w:val="20"/>
              </w:rPr>
            </w:pPr>
            <w:r w:rsidRPr="00E52F9E">
              <w:rPr>
                <w:rFonts w:cstheme="minorHAnsi"/>
                <w:color w:val="auto"/>
                <w:szCs w:val="20"/>
              </w:rPr>
              <w:t xml:space="preserve">The total number of customers using the GDN-sponsored link and/or alternative route, </w:t>
            </w:r>
          </w:p>
          <w:p w14:paraId="0076FB6D" w14:textId="1DF04862" w:rsidR="003B0AFA" w:rsidRPr="00E52F9E" w:rsidRDefault="003B0AFA" w:rsidP="003B0AFA">
            <w:pPr>
              <w:pStyle w:val="ChartSubtitle"/>
              <w:numPr>
                <w:ilvl w:val="1"/>
                <w:numId w:val="33"/>
              </w:numPr>
              <w:spacing w:line="240" w:lineRule="auto"/>
              <w:jc w:val="both"/>
              <w:rPr>
                <w:rFonts w:cstheme="minorHAnsi"/>
                <w:color w:val="auto"/>
                <w:szCs w:val="20"/>
              </w:rPr>
            </w:pPr>
            <w:r w:rsidRPr="00E52F9E">
              <w:rPr>
                <w:rFonts w:cstheme="minorHAnsi"/>
                <w:color w:val="auto"/>
                <w:szCs w:val="20"/>
              </w:rPr>
              <w:lastRenderedPageBreak/>
              <w:t xml:space="preserve">The average savings that could be achieved by GDN customers (broken down by region), </w:t>
            </w:r>
          </w:p>
          <w:p w14:paraId="6F983F1D" w14:textId="3204AA70" w:rsidR="003B0AFA" w:rsidRPr="00E52F9E" w:rsidRDefault="003B0AFA" w:rsidP="003B0AFA">
            <w:pPr>
              <w:pStyle w:val="ChartSubtitle"/>
              <w:numPr>
                <w:ilvl w:val="1"/>
                <w:numId w:val="33"/>
              </w:numPr>
              <w:spacing w:line="240" w:lineRule="auto"/>
              <w:jc w:val="both"/>
              <w:rPr>
                <w:rFonts w:cstheme="minorHAnsi"/>
                <w:color w:val="auto"/>
                <w:szCs w:val="20"/>
              </w:rPr>
            </w:pPr>
            <w:r w:rsidRPr="00E52F9E">
              <w:rPr>
                <w:rFonts w:cstheme="minorHAnsi"/>
                <w:color w:val="auto"/>
                <w:szCs w:val="20"/>
              </w:rPr>
              <w:t>The total number of customers accessing the IE Hub through both the GDN and alternative link (broken down into agreed regions), and,</w:t>
            </w:r>
          </w:p>
          <w:p w14:paraId="3EBA366B" w14:textId="77777777" w:rsidR="003B0AFA" w:rsidRPr="00E52F9E" w:rsidRDefault="003B0AFA" w:rsidP="2C10E815">
            <w:pPr>
              <w:pStyle w:val="ChartSubtitle"/>
              <w:rPr>
                <w:rFonts w:cstheme="minorHAnsi"/>
                <w:color w:val="auto"/>
                <w:szCs w:val="20"/>
              </w:rPr>
            </w:pPr>
          </w:p>
          <w:p w14:paraId="0E5F444E" w14:textId="77777777" w:rsidR="009B4FE5" w:rsidRPr="00E52F9E" w:rsidRDefault="009B4FE5" w:rsidP="009B4FE5">
            <w:pPr>
              <w:pStyle w:val="ChartSubtitle"/>
              <w:rPr>
                <w:rFonts w:cstheme="minorHAnsi"/>
                <w:color w:val="auto"/>
                <w:szCs w:val="20"/>
                <w:u w:val="single"/>
              </w:rPr>
            </w:pPr>
            <w:r w:rsidRPr="00E52F9E">
              <w:rPr>
                <w:rFonts w:cstheme="minorHAnsi"/>
                <w:color w:val="auto"/>
                <w:szCs w:val="20"/>
                <w:u w:val="single"/>
              </w:rPr>
              <w:t>Success Criteria</w:t>
            </w:r>
          </w:p>
          <w:p w14:paraId="392C313B" w14:textId="77777777" w:rsidR="009B4FE5" w:rsidRPr="00E52F9E" w:rsidRDefault="009B4FE5" w:rsidP="003B0AFA">
            <w:pPr>
              <w:pStyle w:val="ChartSubtitle"/>
              <w:rPr>
                <w:rFonts w:cstheme="minorHAnsi"/>
                <w:color w:val="auto"/>
                <w:szCs w:val="20"/>
              </w:rPr>
            </w:pPr>
          </w:p>
          <w:p w14:paraId="71C77F94" w14:textId="4145D5C2" w:rsidR="003B0AFA" w:rsidRPr="00E52F9E" w:rsidRDefault="003B0AFA" w:rsidP="2C10E815">
            <w:pPr>
              <w:pStyle w:val="ChartSubtitle"/>
              <w:rPr>
                <w:rFonts w:cstheme="minorHAnsi"/>
                <w:color w:val="auto"/>
                <w:szCs w:val="20"/>
              </w:rPr>
            </w:pPr>
            <w:r w:rsidRPr="00E52F9E">
              <w:rPr>
                <w:rFonts w:cstheme="minorHAnsi"/>
                <w:color w:val="auto"/>
                <w:szCs w:val="20"/>
              </w:rPr>
              <w:t>The success of the project will be evaluated against the achievement of the project’s objectives. These objectives include:</w:t>
            </w:r>
          </w:p>
          <w:p w14:paraId="0D763E9D" w14:textId="77777777" w:rsidR="003B0AFA" w:rsidRPr="00E52F9E" w:rsidRDefault="003B0AFA" w:rsidP="003B0AFA">
            <w:pPr>
              <w:pStyle w:val="ChartSubtitle"/>
              <w:rPr>
                <w:rFonts w:cstheme="minorHAnsi"/>
                <w:color w:val="auto"/>
                <w:szCs w:val="20"/>
              </w:rPr>
            </w:pPr>
          </w:p>
          <w:p w14:paraId="0C4CCB9B" w14:textId="6AD409E7" w:rsidR="003B0AFA" w:rsidRPr="00E52F9E" w:rsidRDefault="000B45B7" w:rsidP="2C10E815">
            <w:pPr>
              <w:pStyle w:val="ChartSubtitle"/>
              <w:numPr>
                <w:ilvl w:val="0"/>
                <w:numId w:val="33"/>
              </w:numPr>
              <w:spacing w:line="240" w:lineRule="auto"/>
              <w:jc w:val="both"/>
              <w:rPr>
                <w:rFonts w:cstheme="minorHAnsi"/>
                <w:color w:val="auto"/>
                <w:szCs w:val="20"/>
              </w:rPr>
            </w:pPr>
            <w:r w:rsidRPr="00E52F9E">
              <w:rPr>
                <w:rFonts w:cstheme="minorHAnsi"/>
                <w:color w:val="auto"/>
                <w:szCs w:val="20"/>
              </w:rPr>
              <w:t>c.</w:t>
            </w:r>
            <w:r w:rsidR="008C6993" w:rsidRPr="00E52F9E">
              <w:rPr>
                <w:rFonts w:cstheme="minorHAnsi"/>
                <w:color w:val="auto"/>
                <w:szCs w:val="20"/>
              </w:rPr>
              <w:t>1.4m</w:t>
            </w:r>
            <w:r w:rsidR="003B0AFA" w:rsidRPr="00E52F9E">
              <w:rPr>
                <w:rFonts w:cstheme="minorHAnsi"/>
                <w:color w:val="auto"/>
                <w:szCs w:val="20"/>
              </w:rPr>
              <w:t xml:space="preserve"> customers will be engaged through an email campaign delivered by the IE Hub. The campaign communications will contain information that showcases the benefits of IE Hub use and encourages uptake in the tool. Additionally, the campaign will contain essential messaging on CO safety and PSR registration process/benefits</w:t>
            </w:r>
            <w:r w:rsidR="4BC2278C" w:rsidRPr="00E52F9E">
              <w:rPr>
                <w:rFonts w:cstheme="minorHAnsi"/>
                <w:color w:val="auto"/>
                <w:szCs w:val="20"/>
              </w:rPr>
              <w:t xml:space="preserve">. </w:t>
            </w:r>
          </w:p>
          <w:p w14:paraId="792BA01E" w14:textId="77777777" w:rsidR="003B0AFA" w:rsidRPr="00E52F9E" w:rsidRDefault="003B0AFA" w:rsidP="003B0AFA">
            <w:pPr>
              <w:pStyle w:val="ChartSubtitle"/>
              <w:ind w:left="720"/>
              <w:rPr>
                <w:rFonts w:cstheme="minorHAnsi"/>
                <w:color w:val="auto"/>
                <w:szCs w:val="20"/>
              </w:rPr>
            </w:pPr>
          </w:p>
          <w:p w14:paraId="19AAA28D" w14:textId="4E54B6E3" w:rsidR="003B0AFA" w:rsidRPr="00E52F9E" w:rsidRDefault="000B45B7" w:rsidP="2C10E815">
            <w:pPr>
              <w:pStyle w:val="ChartSubtitle"/>
              <w:numPr>
                <w:ilvl w:val="0"/>
                <w:numId w:val="33"/>
              </w:numPr>
              <w:spacing w:line="240" w:lineRule="auto"/>
              <w:jc w:val="both"/>
              <w:rPr>
                <w:rFonts w:cstheme="minorHAnsi"/>
                <w:color w:val="auto"/>
                <w:szCs w:val="20"/>
              </w:rPr>
            </w:pPr>
            <w:r w:rsidRPr="00E52F9E">
              <w:rPr>
                <w:rFonts w:cstheme="minorHAnsi"/>
                <w:color w:val="auto"/>
                <w:szCs w:val="20"/>
              </w:rPr>
              <w:t>c.</w:t>
            </w:r>
            <w:r w:rsidR="003B0AFA" w:rsidRPr="00E52F9E">
              <w:rPr>
                <w:rFonts w:cstheme="minorHAnsi"/>
                <w:color w:val="auto"/>
                <w:szCs w:val="20"/>
              </w:rPr>
              <w:t>136,486 customers will access support through the IE Hub tool. This customer group will be split by those who are referred directly using the GDN-sponsored link, and those who discover the support offered by the IE Hub through an alternative route.</w:t>
            </w:r>
          </w:p>
          <w:p w14:paraId="422AB43E" w14:textId="77777777" w:rsidR="003B0AFA" w:rsidRPr="00E52F9E" w:rsidRDefault="003B0AFA" w:rsidP="003B0AFA">
            <w:pPr>
              <w:pStyle w:val="ListParagraph"/>
              <w:rPr>
                <w:rFonts w:cstheme="minorHAnsi"/>
                <w:color w:val="auto"/>
                <w:sz w:val="20"/>
                <w:szCs w:val="20"/>
              </w:rPr>
            </w:pPr>
          </w:p>
          <w:p w14:paraId="7B519120" w14:textId="0F9DDE96" w:rsidR="003B0AFA" w:rsidRPr="00E52F9E" w:rsidRDefault="000B45B7" w:rsidP="2C10E815">
            <w:pPr>
              <w:pStyle w:val="ChartSubtitle"/>
              <w:numPr>
                <w:ilvl w:val="0"/>
                <w:numId w:val="33"/>
              </w:numPr>
              <w:spacing w:line="240" w:lineRule="auto"/>
              <w:jc w:val="both"/>
              <w:rPr>
                <w:rFonts w:cstheme="minorHAnsi"/>
                <w:color w:val="auto"/>
                <w:szCs w:val="20"/>
              </w:rPr>
            </w:pPr>
            <w:r w:rsidRPr="00E52F9E">
              <w:rPr>
                <w:rFonts w:cstheme="minorHAnsi"/>
                <w:color w:val="auto"/>
                <w:szCs w:val="20"/>
              </w:rPr>
              <w:t>c.</w:t>
            </w:r>
            <w:r w:rsidR="008C6993" w:rsidRPr="00E52F9E">
              <w:rPr>
                <w:rFonts w:cstheme="minorHAnsi"/>
                <w:color w:val="auto"/>
                <w:szCs w:val="20"/>
              </w:rPr>
              <w:t>68,243</w:t>
            </w:r>
            <w:r w:rsidR="003B0AFA" w:rsidRPr="00E52F9E">
              <w:rPr>
                <w:rFonts w:cstheme="minorHAnsi"/>
                <w:color w:val="auto"/>
                <w:szCs w:val="20"/>
              </w:rPr>
              <w:t xml:space="preserve"> customers will receive an improved awareness of the benefits and route to register to the PSR. </w:t>
            </w:r>
          </w:p>
          <w:p w14:paraId="03397A54" w14:textId="77777777" w:rsidR="003B0AFA" w:rsidRPr="00E52F9E" w:rsidRDefault="003B0AFA" w:rsidP="003B0AFA">
            <w:pPr>
              <w:pStyle w:val="ListParagraph"/>
              <w:rPr>
                <w:rFonts w:cstheme="minorHAnsi"/>
                <w:color w:val="auto"/>
                <w:sz w:val="20"/>
                <w:szCs w:val="20"/>
              </w:rPr>
            </w:pPr>
          </w:p>
          <w:p w14:paraId="733EEAC3" w14:textId="24D49567" w:rsidR="000B60E8" w:rsidRPr="00E52F9E" w:rsidRDefault="000B45B7" w:rsidP="2C10E815">
            <w:pPr>
              <w:pStyle w:val="ChartSubtitle"/>
              <w:numPr>
                <w:ilvl w:val="0"/>
                <w:numId w:val="33"/>
              </w:numPr>
              <w:spacing w:line="240" w:lineRule="auto"/>
              <w:jc w:val="both"/>
              <w:rPr>
                <w:rFonts w:cstheme="minorHAnsi"/>
                <w:color w:val="auto"/>
                <w:szCs w:val="20"/>
              </w:rPr>
            </w:pPr>
            <w:r w:rsidRPr="00E52F9E">
              <w:rPr>
                <w:rFonts w:cstheme="minorHAnsi"/>
                <w:color w:val="auto"/>
                <w:szCs w:val="20"/>
              </w:rPr>
              <w:t>c.</w:t>
            </w:r>
            <w:r w:rsidR="008C6993" w:rsidRPr="00E52F9E">
              <w:rPr>
                <w:rFonts w:cstheme="minorHAnsi"/>
                <w:color w:val="auto"/>
                <w:szCs w:val="20"/>
              </w:rPr>
              <w:t>68,243</w:t>
            </w:r>
            <w:r w:rsidR="003B0AFA" w:rsidRPr="00E52F9E">
              <w:rPr>
                <w:rFonts w:cstheme="minorHAnsi"/>
                <w:color w:val="auto"/>
                <w:szCs w:val="20"/>
              </w:rPr>
              <w:t xml:space="preserve"> customers will receive an improved awareness of the signs, symptoms, and dangers of CO. </w:t>
            </w:r>
          </w:p>
          <w:p w14:paraId="05EA91DC" w14:textId="54082F53" w:rsidR="000B60E8" w:rsidRPr="00E52F9E" w:rsidRDefault="000B60E8" w:rsidP="00182BE2">
            <w:pPr>
              <w:rPr>
                <w:rFonts w:cstheme="minorHAnsi"/>
                <w:color w:val="auto"/>
                <w:sz w:val="20"/>
                <w:szCs w:val="20"/>
              </w:rPr>
            </w:pPr>
          </w:p>
        </w:tc>
      </w:tr>
      <w:tr w:rsidR="003115F2" w:rsidRPr="00E52F9E" w14:paraId="09B0CFB2" w14:textId="77777777" w:rsidTr="00182BE2">
        <w:trPr>
          <w:trHeight w:val="228"/>
        </w:trPr>
        <w:tc>
          <w:tcPr>
            <w:tcW w:w="1476" w:type="pct"/>
          </w:tcPr>
          <w:p w14:paraId="15348D8B" w14:textId="06FBF0F8" w:rsidR="00BA125F" w:rsidRPr="00E52F9E" w:rsidRDefault="00296FC7" w:rsidP="00BA125F">
            <w:pPr>
              <w:pStyle w:val="ChartSubtitle"/>
              <w:rPr>
                <w:rFonts w:cstheme="minorHAnsi"/>
                <w:b/>
                <w:color w:val="auto"/>
                <w:szCs w:val="20"/>
              </w:rPr>
            </w:pPr>
            <w:r w:rsidRPr="00E52F9E">
              <w:rPr>
                <w:rFonts w:cstheme="minorHAnsi"/>
                <w:b/>
                <w:color w:val="auto"/>
                <w:szCs w:val="20"/>
              </w:rPr>
              <w:lastRenderedPageBreak/>
              <w:t>Project Partners and Third Parties Involved</w:t>
            </w:r>
          </w:p>
          <w:p w14:paraId="4217A0B2" w14:textId="272D7029" w:rsidR="00BA125F" w:rsidRPr="00E52F9E" w:rsidRDefault="00BA125F" w:rsidP="00BA125F">
            <w:pPr>
              <w:pStyle w:val="ChartSubtitle"/>
              <w:rPr>
                <w:rFonts w:cstheme="minorHAnsi"/>
                <w:b/>
                <w:color w:val="auto"/>
                <w:szCs w:val="20"/>
              </w:rPr>
            </w:pPr>
          </w:p>
        </w:tc>
        <w:tc>
          <w:tcPr>
            <w:tcW w:w="3524" w:type="pct"/>
          </w:tcPr>
          <w:p w14:paraId="0AB31166" w14:textId="77A00E12" w:rsidR="00BA125F" w:rsidRPr="00E52F9E" w:rsidRDefault="00606AC6" w:rsidP="00650598">
            <w:pPr>
              <w:pStyle w:val="ChartSubtitle"/>
              <w:rPr>
                <w:rFonts w:cstheme="minorHAnsi"/>
                <w:color w:val="auto"/>
                <w:szCs w:val="20"/>
              </w:rPr>
            </w:pPr>
            <w:r w:rsidRPr="00E52F9E">
              <w:rPr>
                <w:rFonts w:cstheme="minorHAnsi"/>
                <w:color w:val="auto"/>
                <w:szCs w:val="20"/>
              </w:rPr>
              <w:t>IE Hub</w:t>
            </w:r>
            <w:r w:rsidR="009D13E9" w:rsidRPr="00E52F9E">
              <w:rPr>
                <w:rFonts w:cstheme="minorHAnsi"/>
                <w:color w:val="auto"/>
                <w:szCs w:val="20"/>
              </w:rPr>
              <w:t xml:space="preserve">, </w:t>
            </w:r>
            <w:r w:rsidR="00046A45" w:rsidRPr="00E52F9E">
              <w:rPr>
                <w:rFonts w:cstheme="minorHAnsi"/>
                <w:color w:val="auto"/>
                <w:szCs w:val="20"/>
              </w:rPr>
              <w:t>Cadent</w:t>
            </w:r>
            <w:r w:rsidRPr="00E52F9E">
              <w:rPr>
                <w:rFonts w:cstheme="minorHAnsi"/>
                <w:color w:val="auto"/>
                <w:szCs w:val="20"/>
              </w:rPr>
              <w:t>,</w:t>
            </w:r>
            <w:r w:rsidR="00046A45" w:rsidRPr="00E52F9E">
              <w:rPr>
                <w:rFonts w:cstheme="minorHAnsi"/>
                <w:color w:val="auto"/>
                <w:szCs w:val="20"/>
              </w:rPr>
              <w:t xml:space="preserve"> </w:t>
            </w:r>
            <w:r w:rsidR="009D13E9" w:rsidRPr="00E52F9E">
              <w:rPr>
                <w:rFonts w:cstheme="minorHAnsi"/>
                <w:color w:val="auto"/>
                <w:szCs w:val="20"/>
              </w:rPr>
              <w:t xml:space="preserve">Northern Gas Networks, SGN and Wales &amp; West Utilities. </w:t>
            </w:r>
          </w:p>
          <w:p w14:paraId="1F7C96C5" w14:textId="75758DDE" w:rsidR="009D13E9" w:rsidRPr="00E52F9E" w:rsidRDefault="009D13E9" w:rsidP="00650598">
            <w:pPr>
              <w:pStyle w:val="ChartSubtitle"/>
              <w:rPr>
                <w:rFonts w:cstheme="minorHAnsi"/>
                <w:color w:val="auto"/>
                <w:szCs w:val="20"/>
              </w:rPr>
            </w:pPr>
          </w:p>
        </w:tc>
      </w:tr>
      <w:tr w:rsidR="003115F2" w:rsidRPr="00E52F9E" w14:paraId="34C57987" w14:textId="77777777" w:rsidTr="00182BE2">
        <w:trPr>
          <w:trHeight w:val="239"/>
        </w:trPr>
        <w:tc>
          <w:tcPr>
            <w:tcW w:w="1476" w:type="pct"/>
          </w:tcPr>
          <w:p w14:paraId="179D4CEC" w14:textId="54315D5B" w:rsidR="00BA125F" w:rsidRPr="00E52F9E" w:rsidRDefault="00296FC7" w:rsidP="00BA125F">
            <w:pPr>
              <w:pStyle w:val="ChartSubtitle"/>
              <w:rPr>
                <w:rFonts w:cstheme="minorHAnsi"/>
                <w:b/>
                <w:color w:val="auto"/>
                <w:szCs w:val="20"/>
              </w:rPr>
            </w:pPr>
            <w:r w:rsidRPr="00E52F9E">
              <w:rPr>
                <w:rFonts w:cstheme="minorHAnsi"/>
                <w:b/>
                <w:color w:val="auto"/>
                <w:szCs w:val="20"/>
              </w:rPr>
              <w:t>Potential for New Learning</w:t>
            </w:r>
          </w:p>
          <w:p w14:paraId="5F1CA81E" w14:textId="1C26CD43" w:rsidR="00BA125F" w:rsidRPr="00E52F9E" w:rsidRDefault="00BA125F" w:rsidP="00BA125F">
            <w:pPr>
              <w:pStyle w:val="ChartSubtitle"/>
              <w:rPr>
                <w:rFonts w:cstheme="minorHAnsi"/>
                <w:b/>
                <w:color w:val="auto"/>
                <w:szCs w:val="20"/>
              </w:rPr>
            </w:pPr>
          </w:p>
        </w:tc>
        <w:tc>
          <w:tcPr>
            <w:tcW w:w="3524" w:type="pct"/>
          </w:tcPr>
          <w:p w14:paraId="04CDE62B" w14:textId="2094D77B" w:rsidR="003B0AFA" w:rsidRPr="00E52F9E" w:rsidRDefault="003B0AFA" w:rsidP="003B0AFA">
            <w:pPr>
              <w:pStyle w:val="ChartSubtitle"/>
              <w:rPr>
                <w:rFonts w:cstheme="minorHAnsi"/>
                <w:color w:val="auto"/>
                <w:szCs w:val="20"/>
              </w:rPr>
            </w:pPr>
            <w:r w:rsidRPr="00E52F9E">
              <w:rPr>
                <w:rFonts w:cstheme="minorHAnsi"/>
                <w:color w:val="auto"/>
                <w:szCs w:val="20"/>
              </w:rPr>
              <w:t xml:space="preserve">The project offers the GDNs the opportunity to learn about customers receptiveness to self-service, online tools as a means of receiving advice. Learning from previous projects has suggested that some customers feel that there is a stigma associated with publicly receiving advice, and this more discrete, but equally as expert online tool may provide a solution to this customer group. </w:t>
            </w:r>
          </w:p>
          <w:p w14:paraId="6A03A096" w14:textId="77777777" w:rsidR="003B0AFA" w:rsidRPr="00E52F9E" w:rsidRDefault="003B0AFA" w:rsidP="003B0AFA">
            <w:pPr>
              <w:pStyle w:val="ChartSubtitle"/>
              <w:rPr>
                <w:rFonts w:cstheme="minorHAnsi"/>
                <w:color w:val="auto"/>
                <w:szCs w:val="20"/>
              </w:rPr>
            </w:pPr>
          </w:p>
          <w:p w14:paraId="283497B3" w14:textId="34821A71" w:rsidR="003B0AFA" w:rsidRPr="00E52F9E" w:rsidRDefault="003B0AFA" w:rsidP="2C10E815">
            <w:pPr>
              <w:pStyle w:val="ChartSubtitle"/>
              <w:rPr>
                <w:rFonts w:cstheme="minorHAnsi"/>
                <w:color w:val="auto"/>
                <w:szCs w:val="20"/>
              </w:rPr>
            </w:pPr>
            <w:r w:rsidRPr="00E52F9E">
              <w:rPr>
                <w:rFonts w:cstheme="minorHAnsi"/>
                <w:color w:val="auto"/>
                <w:szCs w:val="20"/>
              </w:rPr>
              <w:t>Alternatively, the project may offer insights on the level of digital exclusion across a customer base that stand to benefit most from these types of services. Customers in vulnerable situations can face challenges with A) affording the costs of smart phones/laptops/</w:t>
            </w:r>
            <w:r w:rsidR="000D2ECB" w:rsidRPr="00E52F9E">
              <w:rPr>
                <w:rFonts w:cstheme="minorHAnsi"/>
                <w:color w:val="auto"/>
                <w:szCs w:val="20"/>
              </w:rPr>
              <w:t>Wi-Fi</w:t>
            </w:r>
            <w:r w:rsidRPr="00E52F9E">
              <w:rPr>
                <w:rFonts w:cstheme="minorHAnsi"/>
                <w:color w:val="auto"/>
                <w:szCs w:val="20"/>
              </w:rPr>
              <w:t xml:space="preserve"> and/or B) encounter difficulties in navigating the complexity of online tools</w:t>
            </w:r>
            <w:r w:rsidR="3E971FA0" w:rsidRPr="00E52F9E">
              <w:rPr>
                <w:rFonts w:cstheme="minorHAnsi"/>
                <w:color w:val="auto"/>
                <w:szCs w:val="20"/>
              </w:rPr>
              <w:t xml:space="preserve">. </w:t>
            </w:r>
            <w:r w:rsidRPr="00E52F9E">
              <w:rPr>
                <w:rFonts w:cstheme="minorHAnsi"/>
                <w:color w:val="auto"/>
                <w:szCs w:val="20"/>
              </w:rPr>
              <w:t xml:space="preserve">Data on the update of support versus the forecasts may provide learning on our customers’ current ability to access online services. </w:t>
            </w:r>
          </w:p>
          <w:p w14:paraId="696A7989" w14:textId="5BD00D89" w:rsidR="00650598" w:rsidRPr="00E52F9E" w:rsidRDefault="00650598" w:rsidP="00046A45">
            <w:pPr>
              <w:pStyle w:val="ChartSubtitle"/>
              <w:rPr>
                <w:rFonts w:cstheme="minorHAnsi"/>
                <w:color w:val="auto"/>
                <w:szCs w:val="20"/>
              </w:rPr>
            </w:pPr>
          </w:p>
        </w:tc>
      </w:tr>
      <w:tr w:rsidR="003115F2" w:rsidRPr="00E52F9E" w14:paraId="3D2FCB23" w14:textId="77777777" w:rsidTr="00182BE2">
        <w:trPr>
          <w:trHeight w:val="239"/>
        </w:trPr>
        <w:tc>
          <w:tcPr>
            <w:tcW w:w="1476" w:type="pct"/>
          </w:tcPr>
          <w:p w14:paraId="7FCFE9B7" w14:textId="2D315118" w:rsidR="00BA125F" w:rsidRPr="00E52F9E" w:rsidRDefault="00296FC7" w:rsidP="00BA125F">
            <w:pPr>
              <w:pStyle w:val="ChartSubtitle"/>
              <w:rPr>
                <w:rFonts w:cstheme="minorHAnsi"/>
                <w:b/>
                <w:color w:val="auto"/>
                <w:szCs w:val="20"/>
              </w:rPr>
            </w:pPr>
            <w:r w:rsidRPr="00E52F9E">
              <w:rPr>
                <w:rFonts w:cstheme="minorHAnsi"/>
                <w:b/>
                <w:color w:val="auto"/>
                <w:szCs w:val="20"/>
              </w:rPr>
              <w:t>Scale of VCMA Project</w:t>
            </w:r>
            <w:r w:rsidR="00A85043" w:rsidRPr="00E52F9E">
              <w:rPr>
                <w:rFonts w:cstheme="minorHAnsi"/>
                <w:b/>
                <w:color w:val="auto"/>
                <w:szCs w:val="20"/>
              </w:rPr>
              <w:t xml:space="preserve"> and SROI Calculations </w:t>
            </w:r>
          </w:p>
          <w:p w14:paraId="16D3F415" w14:textId="089CBB73" w:rsidR="00BA125F" w:rsidRPr="00E52F9E" w:rsidRDefault="00BA125F" w:rsidP="00BA125F">
            <w:pPr>
              <w:pStyle w:val="ChartSubtitle"/>
              <w:rPr>
                <w:rFonts w:cstheme="minorHAnsi"/>
                <w:b/>
                <w:color w:val="auto"/>
                <w:szCs w:val="20"/>
              </w:rPr>
            </w:pPr>
          </w:p>
        </w:tc>
        <w:tc>
          <w:tcPr>
            <w:tcW w:w="3524" w:type="pct"/>
          </w:tcPr>
          <w:p w14:paraId="104AFBD4" w14:textId="5B6E757A" w:rsidR="00046A45" w:rsidRPr="00E52F9E" w:rsidRDefault="003B0AFA" w:rsidP="2C10E815">
            <w:pPr>
              <w:pStyle w:val="ChartSubtitle"/>
              <w:rPr>
                <w:rFonts w:cstheme="minorHAnsi"/>
                <w:color w:val="auto"/>
                <w:szCs w:val="20"/>
              </w:rPr>
            </w:pPr>
            <w:r w:rsidRPr="00E52F9E">
              <w:rPr>
                <w:rFonts w:cstheme="minorHAnsi"/>
                <w:color w:val="auto"/>
                <w:szCs w:val="20"/>
              </w:rPr>
              <w:t>The collaboration will deliver a 21</w:t>
            </w:r>
            <w:r w:rsidR="00061C9F">
              <w:rPr>
                <w:rFonts w:cstheme="minorHAnsi"/>
                <w:color w:val="auto"/>
                <w:szCs w:val="20"/>
              </w:rPr>
              <w:t>-</w:t>
            </w:r>
            <w:r w:rsidRPr="00E52F9E">
              <w:rPr>
                <w:rFonts w:cstheme="minorHAnsi"/>
                <w:color w:val="auto"/>
                <w:szCs w:val="20"/>
              </w:rPr>
              <w:t>month project with IE Hub and reach 136,486 customers across all GDN networks.</w:t>
            </w:r>
          </w:p>
          <w:p w14:paraId="7DD28F20" w14:textId="77777777" w:rsidR="003B0AFA" w:rsidRPr="00E52F9E" w:rsidRDefault="003B0AFA" w:rsidP="00606AC6">
            <w:pPr>
              <w:pStyle w:val="ChartSubtitle"/>
              <w:rPr>
                <w:rFonts w:cstheme="minorHAnsi"/>
                <w:color w:val="auto"/>
                <w:szCs w:val="20"/>
              </w:rPr>
            </w:pPr>
          </w:p>
          <w:p w14:paraId="02C786E9" w14:textId="77777777" w:rsidR="003B0AFA" w:rsidRPr="00E52F9E" w:rsidRDefault="003B0AFA" w:rsidP="003B0AFA">
            <w:pPr>
              <w:pStyle w:val="ChartSubtitle"/>
              <w:rPr>
                <w:rFonts w:cstheme="minorHAnsi"/>
                <w:color w:val="auto"/>
                <w:szCs w:val="20"/>
              </w:rPr>
            </w:pPr>
            <w:r w:rsidRPr="00E52F9E">
              <w:rPr>
                <w:rFonts w:cstheme="minorHAnsi"/>
                <w:color w:val="auto"/>
                <w:szCs w:val="20"/>
              </w:rPr>
              <w:t xml:space="preserve">Customers will be supported with a range of offerings including income maximisation advice, budgeting tips, CO safety information, and guidance on the benefits/process to register to the PSR. </w:t>
            </w:r>
          </w:p>
          <w:p w14:paraId="6CF17A49" w14:textId="77777777" w:rsidR="004F2DA2" w:rsidRPr="00E52F9E" w:rsidRDefault="004F2DA2" w:rsidP="003B0AFA">
            <w:pPr>
              <w:pStyle w:val="ChartSubtitle"/>
              <w:rPr>
                <w:rFonts w:cstheme="minorHAnsi"/>
                <w:color w:val="auto"/>
                <w:szCs w:val="20"/>
              </w:rPr>
            </w:pPr>
          </w:p>
          <w:p w14:paraId="1AD3FA63" w14:textId="62E633EF" w:rsidR="00BF7A6C" w:rsidRPr="00BF7A6C" w:rsidRDefault="00365F9A" w:rsidP="00BF7A6C">
            <w:pPr>
              <w:pStyle w:val="ChartSubtitle"/>
              <w:rPr>
                <w:rFonts w:cstheme="minorHAnsi"/>
                <w:color w:val="auto"/>
                <w:szCs w:val="20"/>
              </w:rPr>
            </w:pPr>
            <w:r w:rsidRPr="00EE585E">
              <w:rPr>
                <w:rFonts w:eastAsia="Calibri" w:cs="Calibri"/>
              </w:rPr>
              <w:t xml:space="preserve">We worked with leading social impact research consultancy </w:t>
            </w:r>
            <w:r>
              <w:rPr>
                <w:rFonts w:eastAsia="Calibri" w:cs="Calibri"/>
              </w:rPr>
              <w:t>Sirio Strategies</w:t>
            </w:r>
            <w:r w:rsidRPr="00EE585E">
              <w:rPr>
                <w:rFonts w:eastAsia="Calibri" w:cs="Calibri"/>
              </w:rPr>
              <w:t xml:space="preserve"> to carry out an assessment of the financial and wellbeing outcomes applicable to our services for vulnerable customers incorporated in this partnership. Carrying out an in-depth assessment of the predicted outcomes we forecast a positive net social return of</w:t>
            </w:r>
            <w:r>
              <w:rPr>
                <w:rFonts w:eastAsia="Calibri" w:cs="Calibri"/>
              </w:rPr>
              <w:t xml:space="preserve"> £4.73</w:t>
            </w:r>
          </w:p>
          <w:p w14:paraId="5139676E" w14:textId="77777777" w:rsidR="00BF7A6C" w:rsidRPr="00BF7A6C" w:rsidRDefault="00BF7A6C" w:rsidP="00BF7A6C">
            <w:pPr>
              <w:pStyle w:val="ChartSubtitle"/>
              <w:rPr>
                <w:rFonts w:cstheme="minorHAnsi"/>
                <w:b/>
                <w:bCs/>
                <w:color w:val="auto"/>
                <w:szCs w:val="20"/>
              </w:rPr>
            </w:pPr>
          </w:p>
          <w:tbl>
            <w:tblPr>
              <w:tblpPr w:leftFromText="180" w:rightFromText="180" w:bottomFromText="160" w:vertAnchor="text" w:horzAnchor="margin" w:tblpY="-74"/>
              <w:tblOverlap w:val="never"/>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9"/>
              <w:gridCol w:w="3440"/>
              <w:gridCol w:w="2549"/>
            </w:tblGrid>
            <w:tr w:rsidR="00AB60DA" w:rsidRPr="00BF7A6C" w14:paraId="70C04F81" w14:textId="77777777" w:rsidTr="004A3CA1">
              <w:trPr>
                <w:trHeight w:val="343"/>
              </w:trPr>
              <w:tc>
                <w:tcPr>
                  <w:tcW w:w="1409" w:type="dxa"/>
                  <w:vMerge w:val="restart"/>
                  <w:shd w:val="clear" w:color="auto" w:fill="AEAAAA" w:themeFill="background2" w:themeFillShade="BF"/>
                  <w:noWrap/>
                  <w:vAlign w:val="center"/>
                </w:tcPr>
                <w:p w14:paraId="0FE54F73" w14:textId="6310CA3C" w:rsidR="00AB60DA" w:rsidRPr="00BF7A6C" w:rsidRDefault="00AB60DA" w:rsidP="00BF7A6C">
                  <w:pPr>
                    <w:pStyle w:val="ChartSubtitle"/>
                    <w:rPr>
                      <w:rFonts w:cstheme="minorHAnsi"/>
                      <w:b/>
                      <w:bCs/>
                      <w:color w:val="auto"/>
                      <w:szCs w:val="20"/>
                    </w:rPr>
                  </w:pPr>
                  <w:r w:rsidRPr="00BF7A6C">
                    <w:rPr>
                      <w:rFonts w:cstheme="minorHAnsi"/>
                      <w:b/>
                      <w:bCs/>
                      <w:color w:val="auto"/>
                      <w:szCs w:val="20"/>
                    </w:rPr>
                    <w:t>Economic</w:t>
                  </w:r>
                </w:p>
              </w:tc>
              <w:tc>
                <w:tcPr>
                  <w:tcW w:w="3440" w:type="dxa"/>
                  <w:shd w:val="clear" w:color="auto" w:fill="E7E6E6"/>
                  <w:noWrap/>
                  <w:vAlign w:val="bottom"/>
                </w:tcPr>
                <w:p w14:paraId="6B25B3B6" w14:textId="0A69BB7C" w:rsidR="00AB60DA" w:rsidRPr="00BF7A6C" w:rsidRDefault="00AB60DA" w:rsidP="00BF7A6C">
                  <w:pPr>
                    <w:pStyle w:val="ChartSubtitle"/>
                    <w:rPr>
                      <w:rFonts w:cstheme="minorHAnsi"/>
                      <w:color w:val="auto"/>
                      <w:szCs w:val="20"/>
                    </w:rPr>
                  </w:pPr>
                  <w:r>
                    <w:rPr>
                      <w:rFonts w:cstheme="minorHAnsi"/>
                      <w:color w:val="auto"/>
                      <w:szCs w:val="20"/>
                    </w:rPr>
                    <w:t>Cost in real terms*</w:t>
                  </w:r>
                </w:p>
              </w:tc>
              <w:tc>
                <w:tcPr>
                  <w:tcW w:w="2549" w:type="dxa"/>
                  <w:noWrap/>
                  <w:vAlign w:val="bottom"/>
                </w:tcPr>
                <w:p w14:paraId="206C2B28" w14:textId="5FEBB004" w:rsidR="00AB60DA" w:rsidRPr="00BF7A6C" w:rsidRDefault="00E57CB5" w:rsidP="00BF7A6C">
                  <w:pPr>
                    <w:pStyle w:val="ChartSubtitle"/>
                    <w:rPr>
                      <w:rFonts w:cstheme="minorHAnsi"/>
                      <w:color w:val="auto"/>
                      <w:szCs w:val="20"/>
                    </w:rPr>
                  </w:pPr>
                  <w:r w:rsidRPr="00E57CB5">
                    <w:rPr>
                      <w:rFonts w:cstheme="minorHAnsi"/>
                      <w:color w:val="auto"/>
                      <w:szCs w:val="20"/>
                    </w:rPr>
                    <w:t>£723,295.70</w:t>
                  </w:r>
                </w:p>
              </w:tc>
            </w:tr>
            <w:tr w:rsidR="00AB60DA" w:rsidRPr="00BF7A6C" w14:paraId="2F68BEDE" w14:textId="77777777" w:rsidTr="004A3CA1">
              <w:trPr>
                <w:trHeight w:val="343"/>
              </w:trPr>
              <w:tc>
                <w:tcPr>
                  <w:tcW w:w="1409" w:type="dxa"/>
                  <w:vMerge/>
                  <w:shd w:val="clear" w:color="auto" w:fill="AEAAAA" w:themeFill="background2" w:themeFillShade="BF"/>
                  <w:noWrap/>
                  <w:vAlign w:val="center"/>
                  <w:hideMark/>
                </w:tcPr>
                <w:p w14:paraId="75916D3F" w14:textId="583AD14E" w:rsidR="00AB60DA" w:rsidRPr="00BF7A6C" w:rsidRDefault="00AB60DA" w:rsidP="00BF7A6C">
                  <w:pPr>
                    <w:pStyle w:val="ChartSubtitle"/>
                    <w:rPr>
                      <w:rFonts w:cstheme="minorHAnsi"/>
                      <w:b/>
                      <w:bCs/>
                      <w:color w:val="auto"/>
                      <w:szCs w:val="20"/>
                    </w:rPr>
                  </w:pPr>
                </w:p>
              </w:tc>
              <w:tc>
                <w:tcPr>
                  <w:tcW w:w="3440" w:type="dxa"/>
                  <w:shd w:val="clear" w:color="auto" w:fill="E7E6E6"/>
                  <w:noWrap/>
                  <w:vAlign w:val="bottom"/>
                  <w:hideMark/>
                </w:tcPr>
                <w:p w14:paraId="671907FD" w14:textId="77777777" w:rsidR="00AB60DA" w:rsidRPr="00BF7A6C" w:rsidRDefault="00AB60DA" w:rsidP="00BF7A6C">
                  <w:pPr>
                    <w:pStyle w:val="ChartSubtitle"/>
                    <w:rPr>
                      <w:rFonts w:cstheme="minorHAnsi"/>
                      <w:color w:val="auto"/>
                      <w:szCs w:val="20"/>
                    </w:rPr>
                  </w:pPr>
                  <w:r w:rsidRPr="00BF7A6C">
                    <w:rPr>
                      <w:rFonts w:cstheme="minorHAnsi"/>
                      <w:color w:val="auto"/>
                      <w:szCs w:val="20"/>
                    </w:rPr>
                    <w:t>Total gross present value</w:t>
                  </w:r>
                </w:p>
              </w:tc>
              <w:tc>
                <w:tcPr>
                  <w:tcW w:w="2549" w:type="dxa"/>
                  <w:noWrap/>
                  <w:vAlign w:val="bottom"/>
                  <w:hideMark/>
                </w:tcPr>
                <w:p w14:paraId="465469B9" w14:textId="4982980F" w:rsidR="00AB60DA" w:rsidRPr="00BF7A6C" w:rsidRDefault="00264D41" w:rsidP="00BF7A6C">
                  <w:pPr>
                    <w:pStyle w:val="ChartSubtitle"/>
                    <w:rPr>
                      <w:rFonts w:cstheme="minorHAnsi"/>
                      <w:color w:val="auto"/>
                      <w:szCs w:val="20"/>
                    </w:rPr>
                  </w:pPr>
                  <w:r w:rsidRPr="00264D41">
                    <w:rPr>
                      <w:rFonts w:cstheme="minorHAnsi"/>
                      <w:color w:val="auto"/>
                      <w:szCs w:val="20"/>
                    </w:rPr>
                    <w:t>£4,143,540.76</w:t>
                  </w:r>
                </w:p>
              </w:tc>
            </w:tr>
            <w:tr w:rsidR="00AB60DA" w:rsidRPr="00BF7A6C" w14:paraId="798BF312" w14:textId="77777777" w:rsidTr="004A3CA1">
              <w:trPr>
                <w:trHeight w:val="343"/>
              </w:trPr>
              <w:tc>
                <w:tcPr>
                  <w:tcW w:w="1409" w:type="dxa"/>
                  <w:vMerge/>
                  <w:shd w:val="clear" w:color="auto" w:fill="AEAAAA" w:themeFill="background2" w:themeFillShade="BF"/>
                  <w:vAlign w:val="center"/>
                  <w:hideMark/>
                </w:tcPr>
                <w:p w14:paraId="606F0A43" w14:textId="77777777" w:rsidR="00AB60DA" w:rsidRPr="00BF7A6C" w:rsidRDefault="00AB60DA" w:rsidP="00BF7A6C">
                  <w:pPr>
                    <w:pStyle w:val="ChartSubtitle"/>
                    <w:rPr>
                      <w:rFonts w:cstheme="minorHAnsi"/>
                      <w:color w:val="auto"/>
                      <w:szCs w:val="20"/>
                    </w:rPr>
                  </w:pPr>
                </w:p>
              </w:tc>
              <w:tc>
                <w:tcPr>
                  <w:tcW w:w="3440" w:type="dxa"/>
                  <w:shd w:val="clear" w:color="auto" w:fill="E7E6E6"/>
                  <w:noWrap/>
                  <w:vAlign w:val="bottom"/>
                  <w:hideMark/>
                </w:tcPr>
                <w:p w14:paraId="1EE98E59" w14:textId="77777777" w:rsidR="00AB60DA" w:rsidRPr="00BF7A6C" w:rsidRDefault="00AB60DA" w:rsidP="00BF7A6C">
                  <w:pPr>
                    <w:pStyle w:val="ChartSubtitle"/>
                    <w:rPr>
                      <w:rFonts w:cstheme="minorHAnsi"/>
                      <w:color w:val="auto"/>
                      <w:szCs w:val="20"/>
                    </w:rPr>
                  </w:pPr>
                  <w:r w:rsidRPr="00BF7A6C">
                    <w:rPr>
                      <w:rFonts w:cstheme="minorHAnsi"/>
                      <w:color w:val="auto"/>
                      <w:szCs w:val="20"/>
                    </w:rPr>
                    <w:t>NPV</w:t>
                  </w:r>
                </w:p>
              </w:tc>
              <w:tc>
                <w:tcPr>
                  <w:tcW w:w="2549" w:type="dxa"/>
                  <w:noWrap/>
                  <w:vAlign w:val="bottom"/>
                  <w:hideMark/>
                </w:tcPr>
                <w:p w14:paraId="0106B64A" w14:textId="6E0D725B" w:rsidR="00AB60DA" w:rsidRPr="00BF7A6C" w:rsidRDefault="00264D41" w:rsidP="00BF7A6C">
                  <w:pPr>
                    <w:pStyle w:val="ChartSubtitle"/>
                    <w:rPr>
                      <w:rFonts w:cstheme="minorHAnsi"/>
                      <w:color w:val="auto"/>
                      <w:szCs w:val="20"/>
                    </w:rPr>
                  </w:pPr>
                  <w:r w:rsidRPr="00264D41">
                    <w:rPr>
                      <w:rFonts w:cstheme="minorHAnsi"/>
                      <w:color w:val="auto"/>
                      <w:szCs w:val="20"/>
                    </w:rPr>
                    <w:t>£3,420,245.06</w:t>
                  </w:r>
                </w:p>
              </w:tc>
            </w:tr>
            <w:tr w:rsidR="00AB60DA" w:rsidRPr="00BF7A6C" w14:paraId="780470A0" w14:textId="77777777" w:rsidTr="004A3CA1">
              <w:trPr>
                <w:trHeight w:val="343"/>
              </w:trPr>
              <w:tc>
                <w:tcPr>
                  <w:tcW w:w="1409" w:type="dxa"/>
                  <w:vMerge/>
                  <w:shd w:val="clear" w:color="auto" w:fill="AEAAAA" w:themeFill="background2" w:themeFillShade="BF"/>
                  <w:vAlign w:val="center"/>
                  <w:hideMark/>
                </w:tcPr>
                <w:p w14:paraId="08F8F09B" w14:textId="77777777" w:rsidR="00AB60DA" w:rsidRPr="00BF7A6C" w:rsidRDefault="00AB60DA" w:rsidP="00BF7A6C">
                  <w:pPr>
                    <w:pStyle w:val="ChartSubtitle"/>
                    <w:rPr>
                      <w:rFonts w:cstheme="minorHAnsi"/>
                      <w:color w:val="auto"/>
                      <w:szCs w:val="20"/>
                    </w:rPr>
                  </w:pPr>
                </w:p>
              </w:tc>
              <w:tc>
                <w:tcPr>
                  <w:tcW w:w="3440" w:type="dxa"/>
                  <w:shd w:val="clear" w:color="auto" w:fill="E7E6E6"/>
                  <w:noWrap/>
                  <w:vAlign w:val="bottom"/>
                  <w:hideMark/>
                </w:tcPr>
                <w:p w14:paraId="51331B16" w14:textId="77777777" w:rsidR="00AB60DA" w:rsidRPr="00BF7A6C" w:rsidRDefault="00AB60DA" w:rsidP="00BF7A6C">
                  <w:pPr>
                    <w:pStyle w:val="ChartSubtitle"/>
                    <w:rPr>
                      <w:rFonts w:cstheme="minorHAnsi"/>
                      <w:color w:val="auto"/>
                      <w:szCs w:val="20"/>
                    </w:rPr>
                  </w:pPr>
                  <w:r w:rsidRPr="00BF7A6C">
                    <w:rPr>
                      <w:rFonts w:cstheme="minorHAnsi"/>
                      <w:color w:val="auto"/>
                      <w:szCs w:val="20"/>
                    </w:rPr>
                    <w:t>SROI</w:t>
                  </w:r>
                </w:p>
              </w:tc>
              <w:tc>
                <w:tcPr>
                  <w:tcW w:w="2549" w:type="dxa"/>
                  <w:noWrap/>
                  <w:vAlign w:val="bottom"/>
                  <w:hideMark/>
                </w:tcPr>
                <w:p w14:paraId="30A2FE59" w14:textId="5B6E6D01" w:rsidR="00AB60DA" w:rsidRPr="00BF7A6C" w:rsidRDefault="00AB60DA" w:rsidP="00BF7A6C">
                  <w:pPr>
                    <w:pStyle w:val="ChartSubtitle"/>
                    <w:rPr>
                      <w:rFonts w:cstheme="minorHAnsi"/>
                      <w:color w:val="auto"/>
                      <w:szCs w:val="20"/>
                    </w:rPr>
                  </w:pPr>
                  <w:r w:rsidRPr="00BF7A6C">
                    <w:rPr>
                      <w:rFonts w:cstheme="minorHAnsi"/>
                      <w:color w:val="auto"/>
                      <w:szCs w:val="20"/>
                    </w:rPr>
                    <w:t>£</w:t>
                  </w:r>
                  <w:r w:rsidR="00264D41">
                    <w:rPr>
                      <w:rFonts w:cstheme="minorHAnsi"/>
                      <w:color w:val="auto"/>
                      <w:szCs w:val="20"/>
                    </w:rPr>
                    <w:t>4.73</w:t>
                  </w:r>
                </w:p>
              </w:tc>
            </w:tr>
          </w:tbl>
          <w:p w14:paraId="51BAB93F" w14:textId="7594E805" w:rsidR="008C6993" w:rsidRPr="00E52F9E" w:rsidRDefault="006E3F94" w:rsidP="003B0AFA">
            <w:pPr>
              <w:pStyle w:val="ChartSubtitle"/>
              <w:rPr>
                <w:rFonts w:cstheme="minorHAnsi"/>
                <w:color w:val="auto"/>
                <w:szCs w:val="20"/>
              </w:rPr>
            </w:pPr>
            <w:r w:rsidRPr="006E3F94">
              <w:rPr>
                <w:rFonts w:cstheme="minorHAnsi"/>
                <w:color w:val="auto"/>
                <w:szCs w:val="20"/>
              </w:rPr>
              <w:t>*Costs are reflected in real terms (i.e. future costs are expressed in 202</w:t>
            </w:r>
            <w:r>
              <w:rPr>
                <w:rFonts w:cstheme="minorHAnsi"/>
                <w:color w:val="auto"/>
                <w:szCs w:val="20"/>
              </w:rPr>
              <w:t>4</w:t>
            </w:r>
            <w:r w:rsidRPr="006E3F94">
              <w:rPr>
                <w:rFonts w:cstheme="minorHAnsi"/>
                <w:color w:val="auto"/>
                <w:szCs w:val="20"/>
              </w:rPr>
              <w:t xml:space="preserve"> prices) for the activities measured via the SROI model</w:t>
            </w:r>
          </w:p>
          <w:p w14:paraId="5C477A68" w14:textId="740CD2DC" w:rsidR="003B0AFA" w:rsidRPr="00E52F9E" w:rsidRDefault="003B0AFA" w:rsidP="00606AC6">
            <w:pPr>
              <w:pStyle w:val="ChartSubtitle"/>
              <w:rPr>
                <w:rFonts w:cstheme="minorHAnsi"/>
                <w:color w:val="auto"/>
                <w:szCs w:val="20"/>
              </w:rPr>
            </w:pPr>
          </w:p>
        </w:tc>
      </w:tr>
      <w:tr w:rsidR="003115F2" w:rsidRPr="00E52F9E" w14:paraId="04490576" w14:textId="77777777" w:rsidTr="00182BE2">
        <w:trPr>
          <w:trHeight w:val="228"/>
        </w:trPr>
        <w:tc>
          <w:tcPr>
            <w:tcW w:w="1476" w:type="pct"/>
            <w:tcBorders>
              <w:bottom w:val="single" w:sz="4" w:space="0" w:color="auto"/>
            </w:tcBorders>
          </w:tcPr>
          <w:p w14:paraId="26B45442" w14:textId="1B1E0E0F" w:rsidR="00BA125F" w:rsidRPr="00E52F9E" w:rsidRDefault="00296FC7" w:rsidP="00BA125F">
            <w:pPr>
              <w:pStyle w:val="ChartSubtitle"/>
              <w:rPr>
                <w:rFonts w:cstheme="minorHAnsi"/>
                <w:b/>
                <w:color w:val="auto"/>
                <w:szCs w:val="20"/>
              </w:rPr>
            </w:pPr>
            <w:r w:rsidRPr="00E52F9E">
              <w:rPr>
                <w:rFonts w:cstheme="minorHAnsi"/>
                <w:b/>
                <w:color w:val="auto"/>
                <w:szCs w:val="20"/>
              </w:rPr>
              <w:t>VCMA Project Start and End Date</w:t>
            </w:r>
          </w:p>
          <w:p w14:paraId="6D90D202" w14:textId="6646017F" w:rsidR="00BA125F" w:rsidRPr="00E52F9E" w:rsidRDefault="00BA125F" w:rsidP="00BA125F">
            <w:pPr>
              <w:pStyle w:val="ChartSubtitle"/>
              <w:rPr>
                <w:rFonts w:cstheme="minorHAnsi"/>
                <w:b/>
                <w:color w:val="auto"/>
                <w:szCs w:val="20"/>
              </w:rPr>
            </w:pPr>
          </w:p>
        </w:tc>
        <w:tc>
          <w:tcPr>
            <w:tcW w:w="3524" w:type="pct"/>
            <w:tcBorders>
              <w:bottom w:val="single" w:sz="4" w:space="0" w:color="auto"/>
            </w:tcBorders>
          </w:tcPr>
          <w:p w14:paraId="600884E8" w14:textId="344F016F" w:rsidR="00A85043" w:rsidRPr="00E52F9E" w:rsidRDefault="003115F2" w:rsidP="2C10E815">
            <w:pPr>
              <w:pStyle w:val="ChartSubtitle"/>
              <w:rPr>
                <w:rFonts w:cstheme="minorHAnsi"/>
                <w:color w:val="auto"/>
                <w:szCs w:val="20"/>
              </w:rPr>
            </w:pPr>
            <w:r w:rsidRPr="00E52F9E">
              <w:rPr>
                <w:rFonts w:cstheme="minorHAnsi"/>
                <w:color w:val="auto"/>
                <w:szCs w:val="20"/>
              </w:rPr>
              <w:t>Start date</w:t>
            </w:r>
            <w:r w:rsidR="003B79C5" w:rsidRPr="00E52F9E">
              <w:rPr>
                <w:rFonts w:cstheme="minorHAnsi"/>
                <w:color w:val="auto"/>
                <w:szCs w:val="20"/>
              </w:rPr>
              <w:t>:</w:t>
            </w:r>
            <w:r w:rsidRPr="00E52F9E">
              <w:rPr>
                <w:rFonts w:cstheme="minorHAnsi"/>
                <w:color w:val="auto"/>
                <w:szCs w:val="20"/>
              </w:rPr>
              <w:t xml:space="preserve"> </w:t>
            </w:r>
            <w:r w:rsidR="008C6993" w:rsidRPr="00E52F9E">
              <w:rPr>
                <w:rFonts w:cstheme="minorHAnsi"/>
                <w:color w:val="auto"/>
                <w:szCs w:val="20"/>
              </w:rPr>
              <w:t>01/0</w:t>
            </w:r>
            <w:r w:rsidR="008F4307">
              <w:rPr>
                <w:rFonts w:cstheme="minorHAnsi"/>
                <w:color w:val="auto"/>
                <w:szCs w:val="20"/>
              </w:rPr>
              <w:t>8</w:t>
            </w:r>
            <w:r w:rsidR="008C6993" w:rsidRPr="00E52F9E">
              <w:rPr>
                <w:rFonts w:cstheme="minorHAnsi"/>
                <w:color w:val="auto"/>
                <w:szCs w:val="20"/>
              </w:rPr>
              <w:t>/</w:t>
            </w:r>
            <w:r w:rsidR="000B45B7" w:rsidRPr="00E52F9E">
              <w:rPr>
                <w:rFonts w:cstheme="minorHAnsi"/>
                <w:color w:val="auto"/>
                <w:szCs w:val="20"/>
              </w:rPr>
              <w:t>24</w:t>
            </w:r>
          </w:p>
          <w:p w14:paraId="67D57DD3" w14:textId="772AD67C" w:rsidR="003115F2" w:rsidRPr="00E52F9E" w:rsidRDefault="003115F2" w:rsidP="2C10E815">
            <w:pPr>
              <w:pStyle w:val="ChartSubtitle"/>
              <w:rPr>
                <w:rFonts w:cstheme="minorHAnsi"/>
                <w:color w:val="auto"/>
                <w:szCs w:val="20"/>
              </w:rPr>
            </w:pPr>
            <w:r w:rsidRPr="00E52F9E">
              <w:rPr>
                <w:rFonts w:cstheme="minorHAnsi"/>
                <w:color w:val="auto"/>
                <w:szCs w:val="20"/>
              </w:rPr>
              <w:t xml:space="preserve">End </w:t>
            </w:r>
            <w:r w:rsidR="003B79C5" w:rsidRPr="00E52F9E">
              <w:rPr>
                <w:rFonts w:cstheme="minorHAnsi"/>
                <w:color w:val="auto"/>
                <w:szCs w:val="20"/>
              </w:rPr>
              <w:t>d</w:t>
            </w:r>
            <w:r w:rsidRPr="00E52F9E">
              <w:rPr>
                <w:rFonts w:cstheme="minorHAnsi"/>
                <w:color w:val="auto"/>
                <w:szCs w:val="20"/>
              </w:rPr>
              <w:t>ate</w:t>
            </w:r>
            <w:r w:rsidR="003B79C5" w:rsidRPr="00E52F9E">
              <w:rPr>
                <w:rFonts w:cstheme="minorHAnsi"/>
                <w:color w:val="auto"/>
                <w:szCs w:val="20"/>
              </w:rPr>
              <w:t>:</w:t>
            </w:r>
            <w:r w:rsidRPr="00E52F9E">
              <w:rPr>
                <w:rFonts w:cstheme="minorHAnsi"/>
                <w:color w:val="auto"/>
                <w:szCs w:val="20"/>
              </w:rPr>
              <w:t xml:space="preserve"> </w:t>
            </w:r>
            <w:r w:rsidR="000B45B7" w:rsidRPr="00E52F9E">
              <w:rPr>
                <w:rFonts w:cstheme="minorHAnsi"/>
                <w:color w:val="auto"/>
                <w:szCs w:val="20"/>
              </w:rPr>
              <w:t>31/03/26</w:t>
            </w:r>
          </w:p>
        </w:tc>
      </w:tr>
      <w:tr w:rsidR="003115F2" w:rsidRPr="00E52F9E" w14:paraId="4DB47464" w14:textId="77777777" w:rsidTr="00182BE2">
        <w:trPr>
          <w:trHeight w:val="239"/>
        </w:trPr>
        <w:tc>
          <w:tcPr>
            <w:tcW w:w="1476" w:type="pct"/>
          </w:tcPr>
          <w:p w14:paraId="007C0A1E" w14:textId="5B294B73" w:rsidR="00BA125F" w:rsidRPr="00E52F9E" w:rsidRDefault="00296FC7" w:rsidP="00BA125F">
            <w:pPr>
              <w:pStyle w:val="ChartSubtitle"/>
              <w:rPr>
                <w:rFonts w:cstheme="minorHAnsi"/>
                <w:b/>
                <w:color w:val="auto"/>
                <w:szCs w:val="20"/>
              </w:rPr>
            </w:pPr>
            <w:r w:rsidRPr="00E52F9E">
              <w:rPr>
                <w:rFonts w:cstheme="minorHAnsi"/>
                <w:b/>
                <w:color w:val="auto"/>
                <w:szCs w:val="20"/>
              </w:rPr>
              <w:lastRenderedPageBreak/>
              <w:t>Geographical Area</w:t>
            </w:r>
          </w:p>
          <w:p w14:paraId="00633260" w14:textId="6F1129C3" w:rsidR="00BA125F" w:rsidRPr="00E52F9E" w:rsidRDefault="00BA125F" w:rsidP="00BA125F">
            <w:pPr>
              <w:pStyle w:val="ChartSubtitle"/>
              <w:rPr>
                <w:rFonts w:cstheme="minorHAnsi"/>
                <w:b/>
                <w:color w:val="auto"/>
                <w:szCs w:val="20"/>
              </w:rPr>
            </w:pPr>
          </w:p>
        </w:tc>
        <w:tc>
          <w:tcPr>
            <w:tcW w:w="3524" w:type="pct"/>
          </w:tcPr>
          <w:p w14:paraId="78902A52" w14:textId="1AEFBE1A" w:rsidR="00BA125F" w:rsidRPr="00E52F9E" w:rsidRDefault="009A145D" w:rsidP="009A145D">
            <w:pPr>
              <w:rPr>
                <w:rFonts w:cstheme="minorHAnsi"/>
                <w:color w:val="auto"/>
                <w:sz w:val="20"/>
                <w:szCs w:val="20"/>
              </w:rPr>
            </w:pPr>
            <w:r w:rsidRPr="00E52F9E">
              <w:rPr>
                <w:rFonts w:cstheme="minorHAnsi"/>
                <w:color w:val="auto"/>
                <w:sz w:val="20"/>
                <w:szCs w:val="20"/>
              </w:rPr>
              <w:t xml:space="preserve">This project will be delivered across all </w:t>
            </w:r>
            <w:r w:rsidR="008713C8" w:rsidRPr="00E52F9E">
              <w:rPr>
                <w:rFonts w:cstheme="minorHAnsi"/>
                <w:color w:val="auto"/>
                <w:sz w:val="20"/>
                <w:szCs w:val="20"/>
              </w:rPr>
              <w:t>GDN</w:t>
            </w:r>
            <w:r w:rsidRPr="00E52F9E">
              <w:rPr>
                <w:rFonts w:cstheme="minorHAnsi"/>
                <w:color w:val="auto"/>
                <w:sz w:val="20"/>
                <w:szCs w:val="20"/>
              </w:rPr>
              <w:t xml:space="preserve"> networks and will benefit </w:t>
            </w:r>
            <w:r w:rsidR="007324DA" w:rsidRPr="00E52F9E">
              <w:rPr>
                <w:rFonts w:cstheme="minorHAnsi"/>
                <w:color w:val="auto"/>
                <w:sz w:val="20"/>
                <w:szCs w:val="20"/>
              </w:rPr>
              <w:t>customers living</w:t>
            </w:r>
            <w:r w:rsidRPr="00E52F9E">
              <w:rPr>
                <w:rFonts w:cstheme="minorHAnsi"/>
                <w:color w:val="auto"/>
                <w:sz w:val="20"/>
                <w:szCs w:val="20"/>
              </w:rPr>
              <w:t xml:space="preserve"> in </w:t>
            </w:r>
            <w:r w:rsidR="008713C8" w:rsidRPr="00E52F9E">
              <w:rPr>
                <w:rFonts w:cstheme="minorHAnsi"/>
                <w:color w:val="auto"/>
                <w:sz w:val="20"/>
                <w:szCs w:val="20"/>
              </w:rPr>
              <w:t>all</w:t>
            </w:r>
            <w:r w:rsidRPr="00E52F9E">
              <w:rPr>
                <w:rFonts w:cstheme="minorHAnsi"/>
                <w:color w:val="auto"/>
                <w:sz w:val="20"/>
                <w:szCs w:val="20"/>
              </w:rPr>
              <w:t xml:space="preserve"> networks.</w:t>
            </w:r>
          </w:p>
        </w:tc>
      </w:tr>
      <w:tr w:rsidR="0095141F" w:rsidRPr="00E52F9E" w14:paraId="331830BE" w14:textId="77777777" w:rsidTr="11DBB035">
        <w:trPr>
          <w:trHeight w:val="239"/>
        </w:trPr>
        <w:tc>
          <w:tcPr>
            <w:tcW w:w="1476" w:type="pct"/>
            <w:tcBorders>
              <w:bottom w:val="single" w:sz="4" w:space="0" w:color="auto"/>
            </w:tcBorders>
          </w:tcPr>
          <w:p w14:paraId="6577F09F" w14:textId="326AC8C1" w:rsidR="0095141F" w:rsidRPr="00E52F9E" w:rsidRDefault="0095141F" w:rsidP="00BA125F">
            <w:pPr>
              <w:pStyle w:val="ChartSubtitle"/>
              <w:rPr>
                <w:rFonts w:cstheme="minorHAnsi"/>
                <w:b/>
                <w:bCs/>
                <w:color w:val="auto"/>
                <w:szCs w:val="20"/>
              </w:rPr>
            </w:pPr>
            <w:r w:rsidRPr="009217D8">
              <w:rPr>
                <w:rFonts w:cstheme="minorHAnsi"/>
                <w:b/>
                <w:bCs/>
                <w:color w:val="auto"/>
                <w:szCs w:val="20"/>
              </w:rPr>
              <w:t>Internal governance and project management evidence</w:t>
            </w:r>
          </w:p>
        </w:tc>
        <w:tc>
          <w:tcPr>
            <w:tcW w:w="3524" w:type="pct"/>
            <w:tcBorders>
              <w:bottom w:val="single" w:sz="4" w:space="0" w:color="auto"/>
            </w:tcBorders>
          </w:tcPr>
          <w:p w14:paraId="2E2E31AF" w14:textId="5C0414EC" w:rsidR="0095141F" w:rsidRPr="00E52F9E" w:rsidRDefault="0095141F" w:rsidP="001855C7">
            <w:pPr>
              <w:spacing w:before="240"/>
              <w:rPr>
                <w:rFonts w:cstheme="minorHAnsi"/>
                <w:color w:val="auto"/>
                <w:sz w:val="20"/>
                <w:szCs w:val="20"/>
              </w:rPr>
            </w:pPr>
            <w:r w:rsidRPr="00E52F9E">
              <w:rPr>
                <w:rFonts w:cstheme="minorHAnsi"/>
                <w:color w:val="auto"/>
                <w:sz w:val="20"/>
                <w:szCs w:val="20"/>
              </w:rPr>
              <w:t>The project will be led by the Director and overseen by a multi-agency steering group including the GDNs. Each element of the work will have a nominated lead who will be supported by a small group of key professionals that will form task and finish groups for each module. The leads will report to the Director and the task and finish groups will report into the steering group.</w:t>
            </w:r>
          </w:p>
          <w:p w14:paraId="4556EEE9" w14:textId="75F0AD15" w:rsidR="0095141F" w:rsidRPr="00E52F9E" w:rsidRDefault="0095141F" w:rsidP="009A145D">
            <w:pPr>
              <w:rPr>
                <w:rFonts w:cstheme="minorHAnsi"/>
                <w:color w:val="auto"/>
                <w:sz w:val="20"/>
                <w:szCs w:val="20"/>
              </w:rPr>
            </w:pPr>
          </w:p>
        </w:tc>
      </w:tr>
    </w:tbl>
    <w:p w14:paraId="2F9A0C51" w14:textId="77777777" w:rsidR="006B3877" w:rsidRPr="00E52F9E" w:rsidRDefault="006B3877" w:rsidP="00B471A1">
      <w:pPr>
        <w:rPr>
          <w:rFonts w:cstheme="minorHAnsi"/>
          <w:b/>
          <w:color w:val="auto"/>
          <w:sz w:val="20"/>
          <w:szCs w:val="20"/>
        </w:rPr>
      </w:pPr>
    </w:p>
    <w:p w14:paraId="37771827" w14:textId="77777777" w:rsidR="006B3877" w:rsidRPr="00E52F9E" w:rsidRDefault="006B3877" w:rsidP="00B471A1">
      <w:pPr>
        <w:rPr>
          <w:rFonts w:cstheme="minorHAnsi"/>
          <w:b/>
          <w:color w:val="auto"/>
          <w:sz w:val="20"/>
          <w:szCs w:val="20"/>
        </w:rPr>
      </w:pPr>
    </w:p>
    <w:p w14:paraId="166138B7" w14:textId="77777777" w:rsidR="006B3877" w:rsidRPr="00E52F9E" w:rsidRDefault="006B3877" w:rsidP="00B471A1">
      <w:pPr>
        <w:rPr>
          <w:rFonts w:cstheme="minorHAnsi"/>
          <w:b/>
          <w:color w:val="auto"/>
          <w:sz w:val="20"/>
          <w:szCs w:val="20"/>
        </w:rPr>
      </w:pPr>
    </w:p>
    <w:p w14:paraId="0F1FB744" w14:textId="77777777" w:rsidR="006B3877" w:rsidRPr="00E52F9E" w:rsidRDefault="006B3877" w:rsidP="00B471A1">
      <w:pPr>
        <w:rPr>
          <w:rFonts w:cstheme="minorHAnsi"/>
          <w:b/>
          <w:color w:val="auto"/>
          <w:sz w:val="20"/>
          <w:szCs w:val="20"/>
        </w:rPr>
      </w:pPr>
    </w:p>
    <w:p w14:paraId="54F0427B" w14:textId="43D758D1" w:rsidR="00516CFA" w:rsidRPr="00E52F9E" w:rsidRDefault="004F6135" w:rsidP="00B471A1">
      <w:pPr>
        <w:rPr>
          <w:rFonts w:cstheme="minorHAnsi"/>
          <w:b/>
          <w:color w:val="auto"/>
          <w:sz w:val="20"/>
          <w:szCs w:val="20"/>
        </w:rPr>
      </w:pPr>
      <w:r w:rsidRPr="00E52F9E">
        <w:rPr>
          <w:rFonts w:cstheme="minorHAnsi"/>
          <w:b/>
          <w:color w:val="auto"/>
          <w:sz w:val="20"/>
          <w:szCs w:val="20"/>
        </w:rPr>
        <w:t xml:space="preserve">Gas Network Vulnerability and Carbon Monoxide Allowance (VCMA) Governance Document - PEA Control Table </w:t>
      </w:r>
    </w:p>
    <w:p w14:paraId="1A403F87" w14:textId="2DD1D0EC" w:rsidR="004F6135" w:rsidRPr="00E52F9E" w:rsidRDefault="004F6135" w:rsidP="00B471A1">
      <w:pPr>
        <w:rPr>
          <w:rFonts w:cstheme="minorHAnsi"/>
          <w:b/>
          <w:color w:val="auto"/>
          <w:sz w:val="20"/>
          <w:szCs w:val="20"/>
        </w:rPr>
      </w:pPr>
    </w:p>
    <w:tbl>
      <w:tblPr>
        <w:tblStyle w:val="TableGrid"/>
        <w:tblW w:w="9853" w:type="dxa"/>
        <w:tblLook w:val="04A0" w:firstRow="1" w:lastRow="0" w:firstColumn="1" w:lastColumn="0" w:noHBand="0" w:noVBand="1"/>
      </w:tblPr>
      <w:tblGrid>
        <w:gridCol w:w="9882"/>
      </w:tblGrid>
      <w:tr w:rsidR="009217D8" w:rsidRPr="009217D8" w14:paraId="7E7DBB9C" w14:textId="77777777" w:rsidTr="00F256A8">
        <w:trPr>
          <w:trHeight w:val="3132"/>
        </w:trPr>
        <w:tc>
          <w:tcPr>
            <w:tcW w:w="9853" w:type="dxa"/>
            <w:vAlign w:val="center"/>
          </w:tcPr>
          <w:p w14:paraId="667855F6" w14:textId="77777777" w:rsidR="008713C8" w:rsidRPr="009217D8" w:rsidRDefault="008713C8" w:rsidP="00F256A8">
            <w:pPr>
              <w:rPr>
                <w:rFonts w:cstheme="minorHAnsi"/>
                <w:color w:val="auto"/>
                <w:sz w:val="20"/>
                <w:szCs w:val="20"/>
              </w:rPr>
            </w:pPr>
            <w:r w:rsidRPr="009217D8">
              <w:rPr>
                <w:rFonts w:cstheme="minorHAnsi"/>
                <w:color w:val="auto"/>
                <w:sz w:val="20"/>
                <w:szCs w:val="20"/>
              </w:rPr>
              <w:t>Stage 1: GDN Collaboration Group PEA Review</w:t>
            </w:r>
          </w:p>
          <w:p w14:paraId="3186A1B9" w14:textId="77777777" w:rsidR="008713C8" w:rsidRPr="009217D8" w:rsidRDefault="008713C8" w:rsidP="00F256A8">
            <w:pPr>
              <w:rPr>
                <w:rFonts w:cstheme="minorHAnsi"/>
                <w:b/>
                <w:bCs/>
                <w:color w:val="auto"/>
                <w:sz w:val="20"/>
                <w:szCs w:val="20"/>
              </w:rPr>
            </w:pPr>
            <w:r w:rsidRPr="009217D8">
              <w:rPr>
                <w:rFonts w:cstheme="minorHAnsi"/>
                <w:b/>
                <w:bCs/>
                <w:color w:val="auto"/>
                <w:sz w:val="20"/>
                <w:szCs w:val="20"/>
              </w:rPr>
              <w:t xml:space="preserve">Meeting date review completed: </w:t>
            </w:r>
          </w:p>
          <w:p w14:paraId="14F70A81" w14:textId="77777777" w:rsidR="008713C8" w:rsidRPr="009217D8" w:rsidRDefault="008713C8" w:rsidP="00F256A8">
            <w:pPr>
              <w:rPr>
                <w:rFonts w:cstheme="minorHAnsi"/>
                <w:b/>
                <w:bCs/>
                <w:color w:val="auto"/>
                <w:sz w:val="20"/>
                <w:szCs w:val="20"/>
              </w:rPr>
            </w:pPr>
            <w:r w:rsidRPr="009217D8">
              <w:rPr>
                <w:rFonts w:cstheme="minorHAnsi"/>
                <w:b/>
                <w:bCs/>
                <w:color w:val="auto"/>
                <w:sz w:val="20"/>
                <w:szCs w:val="20"/>
              </w:rPr>
              <w:t>Review completed by:</w:t>
            </w:r>
          </w:p>
          <w:p w14:paraId="645AB799" w14:textId="77777777" w:rsidR="008713C8" w:rsidRPr="009217D8" w:rsidRDefault="008713C8" w:rsidP="00F256A8">
            <w:pPr>
              <w:rPr>
                <w:rFonts w:cstheme="minorHAnsi"/>
                <w:color w:val="auto"/>
                <w:sz w:val="20"/>
                <w:szCs w:val="20"/>
              </w:rPr>
            </w:pPr>
          </w:p>
          <w:tbl>
            <w:tblPr>
              <w:tblStyle w:val="TableGrid"/>
              <w:tblW w:w="9656" w:type="dxa"/>
              <w:tblLook w:val="04A0" w:firstRow="1" w:lastRow="0" w:firstColumn="1" w:lastColumn="0" w:noHBand="0" w:noVBand="1"/>
            </w:tblPr>
            <w:tblGrid>
              <w:gridCol w:w="1365"/>
              <w:gridCol w:w="4260"/>
              <w:gridCol w:w="4031"/>
            </w:tblGrid>
            <w:tr w:rsidR="009217D8" w:rsidRPr="009217D8" w14:paraId="3C77490A" w14:textId="77777777" w:rsidTr="003D0BB9">
              <w:trPr>
                <w:trHeight w:val="259"/>
              </w:trPr>
              <w:tc>
                <w:tcPr>
                  <w:tcW w:w="1365" w:type="dxa"/>
                </w:tcPr>
                <w:p w14:paraId="07426664" w14:textId="72B3A9CB" w:rsidR="008713C8" w:rsidRPr="009217D8" w:rsidRDefault="008713C8" w:rsidP="00F256A8">
                  <w:pPr>
                    <w:rPr>
                      <w:rFonts w:cstheme="minorHAnsi"/>
                      <w:color w:val="auto"/>
                      <w:sz w:val="20"/>
                      <w:szCs w:val="20"/>
                    </w:rPr>
                  </w:pPr>
                  <w:r w:rsidRPr="009217D8">
                    <w:rPr>
                      <w:rFonts w:cstheme="minorHAnsi"/>
                      <w:color w:val="auto"/>
                      <w:sz w:val="20"/>
                      <w:szCs w:val="20"/>
                    </w:rPr>
                    <w:t>GDN</w:t>
                  </w:r>
                </w:p>
              </w:tc>
              <w:tc>
                <w:tcPr>
                  <w:tcW w:w="4260" w:type="dxa"/>
                </w:tcPr>
                <w:p w14:paraId="195EBCD5" w14:textId="3C7BC14E" w:rsidR="008713C8" w:rsidRPr="009217D8" w:rsidRDefault="008713C8" w:rsidP="00F256A8">
                  <w:pPr>
                    <w:rPr>
                      <w:rFonts w:cstheme="minorHAnsi"/>
                      <w:color w:val="auto"/>
                      <w:sz w:val="20"/>
                      <w:szCs w:val="20"/>
                    </w:rPr>
                  </w:pPr>
                  <w:r w:rsidRPr="009217D8">
                    <w:rPr>
                      <w:rFonts w:cstheme="minorHAnsi"/>
                      <w:color w:val="auto"/>
                      <w:sz w:val="20"/>
                      <w:szCs w:val="20"/>
                    </w:rPr>
                    <w:t>Name</w:t>
                  </w:r>
                </w:p>
              </w:tc>
              <w:tc>
                <w:tcPr>
                  <w:tcW w:w="4031" w:type="dxa"/>
                </w:tcPr>
                <w:p w14:paraId="627EFB30" w14:textId="0923C651" w:rsidR="008713C8" w:rsidRPr="009217D8" w:rsidRDefault="008713C8" w:rsidP="00F256A8">
                  <w:pPr>
                    <w:rPr>
                      <w:rFonts w:cstheme="minorHAnsi"/>
                      <w:color w:val="auto"/>
                      <w:sz w:val="20"/>
                      <w:szCs w:val="20"/>
                    </w:rPr>
                  </w:pPr>
                  <w:r w:rsidRPr="009217D8">
                    <w:rPr>
                      <w:rFonts w:cstheme="minorHAnsi"/>
                      <w:color w:val="auto"/>
                      <w:sz w:val="20"/>
                      <w:szCs w:val="20"/>
                    </w:rPr>
                    <w:t>Job Title</w:t>
                  </w:r>
                </w:p>
              </w:tc>
            </w:tr>
            <w:tr w:rsidR="009217D8" w:rsidRPr="009217D8" w14:paraId="24432F5B" w14:textId="77777777" w:rsidTr="003D0BB9">
              <w:trPr>
                <w:trHeight w:val="263"/>
              </w:trPr>
              <w:tc>
                <w:tcPr>
                  <w:tcW w:w="1365" w:type="dxa"/>
                </w:tcPr>
                <w:p w14:paraId="4739CDFD" w14:textId="77777777" w:rsidR="008713C8" w:rsidRPr="009217D8" w:rsidRDefault="008713C8" w:rsidP="00F256A8">
                  <w:pPr>
                    <w:rPr>
                      <w:rFonts w:cstheme="minorHAnsi"/>
                      <w:color w:val="auto"/>
                      <w:sz w:val="20"/>
                      <w:szCs w:val="20"/>
                    </w:rPr>
                  </w:pPr>
                  <w:r w:rsidRPr="009217D8">
                    <w:rPr>
                      <w:rFonts w:cstheme="minorHAnsi"/>
                      <w:color w:val="auto"/>
                      <w:sz w:val="20"/>
                      <w:szCs w:val="20"/>
                    </w:rPr>
                    <w:t>NGN</w:t>
                  </w:r>
                </w:p>
              </w:tc>
              <w:tc>
                <w:tcPr>
                  <w:tcW w:w="4260" w:type="dxa"/>
                </w:tcPr>
                <w:p w14:paraId="0FA03615" w14:textId="77777777" w:rsidR="008713C8" w:rsidRPr="009217D8" w:rsidRDefault="008713C8" w:rsidP="00F256A8">
                  <w:pPr>
                    <w:rPr>
                      <w:rFonts w:cstheme="minorHAnsi"/>
                      <w:color w:val="auto"/>
                      <w:sz w:val="20"/>
                      <w:szCs w:val="20"/>
                    </w:rPr>
                  </w:pPr>
                  <w:r w:rsidRPr="009217D8">
                    <w:rPr>
                      <w:rFonts w:cstheme="minorHAnsi"/>
                      <w:color w:val="auto"/>
                      <w:sz w:val="20"/>
                      <w:szCs w:val="20"/>
                    </w:rPr>
                    <w:t>Laura Ratcliffe</w:t>
                  </w:r>
                </w:p>
              </w:tc>
              <w:tc>
                <w:tcPr>
                  <w:tcW w:w="4031" w:type="dxa"/>
                </w:tcPr>
                <w:p w14:paraId="3076C4F0" w14:textId="77777777" w:rsidR="00F035C8" w:rsidRPr="009217D8" w:rsidRDefault="00F035C8" w:rsidP="00F035C8">
                  <w:pPr>
                    <w:rPr>
                      <w:rFonts w:cstheme="minorHAnsi"/>
                      <w:b/>
                      <w:bCs/>
                      <w:color w:val="auto"/>
                      <w:sz w:val="20"/>
                      <w:szCs w:val="20"/>
                      <w:lang w:eastAsia="en-GB"/>
                    </w:rPr>
                  </w:pPr>
                  <w:r w:rsidRPr="009217D8">
                    <w:rPr>
                      <w:rFonts w:cstheme="minorHAnsi"/>
                      <w:color w:val="auto"/>
                      <w:sz w:val="20"/>
                      <w:szCs w:val="20"/>
                      <w:lang w:eastAsia="en-GB"/>
                    </w:rPr>
                    <w:t>Social Strategy Programme Manager</w:t>
                  </w:r>
                </w:p>
                <w:p w14:paraId="10478EEF" w14:textId="77777777" w:rsidR="008713C8" w:rsidRPr="009217D8" w:rsidRDefault="008713C8" w:rsidP="00F256A8">
                  <w:pPr>
                    <w:rPr>
                      <w:rFonts w:cstheme="minorHAnsi"/>
                      <w:color w:val="auto"/>
                      <w:sz w:val="20"/>
                      <w:szCs w:val="20"/>
                    </w:rPr>
                  </w:pPr>
                </w:p>
              </w:tc>
            </w:tr>
            <w:tr w:rsidR="009217D8" w:rsidRPr="009217D8" w14:paraId="295E2940" w14:textId="77777777" w:rsidTr="00F256A8">
              <w:trPr>
                <w:trHeight w:val="420"/>
              </w:trPr>
              <w:tc>
                <w:tcPr>
                  <w:tcW w:w="1365" w:type="dxa"/>
                </w:tcPr>
                <w:p w14:paraId="407C894E" w14:textId="77777777" w:rsidR="008713C8" w:rsidRPr="009217D8" w:rsidRDefault="008713C8" w:rsidP="00F256A8">
                  <w:pPr>
                    <w:rPr>
                      <w:rFonts w:cstheme="minorHAnsi"/>
                      <w:color w:val="auto"/>
                      <w:sz w:val="20"/>
                      <w:szCs w:val="20"/>
                    </w:rPr>
                  </w:pPr>
                  <w:r w:rsidRPr="009217D8">
                    <w:rPr>
                      <w:rFonts w:cstheme="minorHAnsi"/>
                      <w:color w:val="auto"/>
                      <w:sz w:val="20"/>
                      <w:szCs w:val="20"/>
                    </w:rPr>
                    <w:t xml:space="preserve">SGN (Southern) </w:t>
                  </w:r>
                </w:p>
              </w:tc>
              <w:tc>
                <w:tcPr>
                  <w:tcW w:w="4260" w:type="dxa"/>
                </w:tcPr>
                <w:p w14:paraId="04AC479C" w14:textId="77777777" w:rsidR="008713C8" w:rsidRPr="009217D8" w:rsidRDefault="008713C8" w:rsidP="00F256A8">
                  <w:pPr>
                    <w:rPr>
                      <w:rFonts w:cstheme="minorHAnsi"/>
                      <w:color w:val="auto"/>
                      <w:sz w:val="20"/>
                      <w:szCs w:val="20"/>
                    </w:rPr>
                  </w:pPr>
                  <w:r w:rsidRPr="009217D8">
                    <w:rPr>
                      <w:rFonts w:cstheme="minorHAnsi"/>
                      <w:color w:val="auto"/>
                      <w:sz w:val="20"/>
                      <w:szCs w:val="20"/>
                    </w:rPr>
                    <w:t>Kerry Potter</w:t>
                  </w:r>
                </w:p>
              </w:tc>
              <w:tc>
                <w:tcPr>
                  <w:tcW w:w="4031" w:type="dxa"/>
                </w:tcPr>
                <w:p w14:paraId="6043F014" w14:textId="08AF55AE" w:rsidR="008713C8" w:rsidRPr="009217D8" w:rsidRDefault="001855C7" w:rsidP="00F256A8">
                  <w:pPr>
                    <w:rPr>
                      <w:rFonts w:cstheme="minorHAnsi"/>
                      <w:color w:val="auto"/>
                      <w:sz w:val="20"/>
                      <w:szCs w:val="20"/>
                    </w:rPr>
                  </w:pPr>
                  <w:r w:rsidRPr="009217D8">
                    <w:rPr>
                      <w:rFonts w:cstheme="minorHAnsi"/>
                      <w:color w:val="auto"/>
                      <w:sz w:val="20"/>
                      <w:szCs w:val="20"/>
                    </w:rPr>
                    <w:t xml:space="preserve">Group </w:t>
                  </w:r>
                  <w:r w:rsidR="008713C8" w:rsidRPr="009217D8">
                    <w:rPr>
                      <w:rFonts w:cstheme="minorHAnsi"/>
                      <w:color w:val="auto"/>
                      <w:sz w:val="20"/>
                      <w:szCs w:val="20"/>
                    </w:rPr>
                    <w:t xml:space="preserve">Social Impact and Vulnerability Manager </w:t>
                  </w:r>
                </w:p>
              </w:tc>
            </w:tr>
            <w:tr w:rsidR="009217D8" w:rsidRPr="009217D8" w14:paraId="092F76D0" w14:textId="77777777" w:rsidTr="003D0BB9">
              <w:trPr>
                <w:trHeight w:val="294"/>
              </w:trPr>
              <w:tc>
                <w:tcPr>
                  <w:tcW w:w="1365" w:type="dxa"/>
                </w:tcPr>
                <w:p w14:paraId="1E34DE26" w14:textId="77777777" w:rsidR="008713C8" w:rsidRPr="009217D8" w:rsidRDefault="008713C8" w:rsidP="00F256A8">
                  <w:pPr>
                    <w:rPr>
                      <w:rFonts w:cstheme="minorHAnsi"/>
                      <w:color w:val="auto"/>
                      <w:sz w:val="20"/>
                      <w:szCs w:val="20"/>
                    </w:rPr>
                  </w:pPr>
                  <w:r w:rsidRPr="009217D8">
                    <w:rPr>
                      <w:rFonts w:cstheme="minorHAnsi"/>
                      <w:color w:val="auto"/>
                      <w:sz w:val="20"/>
                      <w:szCs w:val="20"/>
                    </w:rPr>
                    <w:t>WWU</w:t>
                  </w:r>
                </w:p>
              </w:tc>
              <w:tc>
                <w:tcPr>
                  <w:tcW w:w="4260" w:type="dxa"/>
                </w:tcPr>
                <w:p w14:paraId="6D3B09A1" w14:textId="77777777" w:rsidR="008713C8" w:rsidRPr="009217D8" w:rsidRDefault="008713C8" w:rsidP="00F256A8">
                  <w:pPr>
                    <w:rPr>
                      <w:rFonts w:cstheme="minorHAnsi"/>
                      <w:color w:val="auto"/>
                      <w:sz w:val="20"/>
                      <w:szCs w:val="20"/>
                    </w:rPr>
                  </w:pPr>
                  <w:r w:rsidRPr="009217D8">
                    <w:rPr>
                      <w:rFonts w:cstheme="minorHAnsi"/>
                      <w:color w:val="auto"/>
                      <w:sz w:val="20"/>
                      <w:szCs w:val="20"/>
                    </w:rPr>
                    <w:t>Sophie Shorney</w:t>
                  </w:r>
                </w:p>
              </w:tc>
              <w:tc>
                <w:tcPr>
                  <w:tcW w:w="4031" w:type="dxa"/>
                </w:tcPr>
                <w:p w14:paraId="0CED5DAD" w14:textId="77777777" w:rsidR="008713C8" w:rsidRPr="009217D8" w:rsidRDefault="008713C8" w:rsidP="00F256A8">
                  <w:pPr>
                    <w:rPr>
                      <w:rFonts w:cstheme="minorHAnsi"/>
                      <w:color w:val="auto"/>
                      <w:sz w:val="20"/>
                      <w:szCs w:val="20"/>
                    </w:rPr>
                  </w:pPr>
                  <w:r w:rsidRPr="009217D8">
                    <w:rPr>
                      <w:rFonts w:cstheme="minorHAnsi"/>
                      <w:color w:val="auto"/>
                      <w:sz w:val="20"/>
                      <w:szCs w:val="20"/>
                    </w:rPr>
                    <w:t>VCMA Manager</w:t>
                  </w:r>
                </w:p>
              </w:tc>
            </w:tr>
            <w:tr w:rsidR="009217D8" w:rsidRPr="009217D8" w14:paraId="7863FEBF" w14:textId="77777777" w:rsidTr="003D0BB9">
              <w:trPr>
                <w:trHeight w:val="271"/>
              </w:trPr>
              <w:tc>
                <w:tcPr>
                  <w:tcW w:w="1365" w:type="dxa"/>
                </w:tcPr>
                <w:p w14:paraId="7CEDCF8B" w14:textId="77777777" w:rsidR="008713C8" w:rsidRPr="009217D8" w:rsidRDefault="008713C8" w:rsidP="00F256A8">
                  <w:pPr>
                    <w:rPr>
                      <w:rFonts w:cstheme="minorHAnsi"/>
                      <w:color w:val="auto"/>
                      <w:sz w:val="20"/>
                      <w:szCs w:val="20"/>
                    </w:rPr>
                  </w:pPr>
                  <w:r w:rsidRPr="009217D8">
                    <w:rPr>
                      <w:rFonts w:cstheme="minorHAnsi"/>
                      <w:color w:val="auto"/>
                      <w:sz w:val="20"/>
                      <w:szCs w:val="20"/>
                    </w:rPr>
                    <w:t>Cadent</w:t>
                  </w:r>
                </w:p>
              </w:tc>
              <w:tc>
                <w:tcPr>
                  <w:tcW w:w="4260" w:type="dxa"/>
                </w:tcPr>
                <w:p w14:paraId="4A3FFA5C" w14:textId="6A34C413" w:rsidR="008713C8" w:rsidRPr="009217D8" w:rsidRDefault="008713C8" w:rsidP="00F256A8">
                  <w:pPr>
                    <w:rPr>
                      <w:rFonts w:cstheme="minorHAnsi"/>
                      <w:color w:val="auto"/>
                      <w:sz w:val="20"/>
                      <w:szCs w:val="20"/>
                    </w:rPr>
                  </w:pPr>
                  <w:r w:rsidRPr="009217D8">
                    <w:rPr>
                      <w:rFonts w:cstheme="minorHAnsi"/>
                      <w:color w:val="auto"/>
                      <w:sz w:val="20"/>
                      <w:szCs w:val="20"/>
                    </w:rPr>
                    <w:t xml:space="preserve">Gurvinder Dosanjh </w:t>
                  </w:r>
                </w:p>
              </w:tc>
              <w:tc>
                <w:tcPr>
                  <w:tcW w:w="4031" w:type="dxa"/>
                </w:tcPr>
                <w:p w14:paraId="137486CC" w14:textId="325FCCAA" w:rsidR="008713C8" w:rsidRPr="009217D8" w:rsidRDefault="008713C8" w:rsidP="00F256A8">
                  <w:pPr>
                    <w:rPr>
                      <w:rFonts w:cstheme="minorHAnsi"/>
                      <w:color w:val="auto"/>
                      <w:sz w:val="20"/>
                      <w:szCs w:val="20"/>
                    </w:rPr>
                  </w:pPr>
                  <w:r w:rsidRPr="009217D8">
                    <w:rPr>
                      <w:rFonts w:cstheme="minorHAnsi"/>
                      <w:color w:val="auto"/>
                      <w:sz w:val="20"/>
                      <w:szCs w:val="20"/>
                    </w:rPr>
                    <w:t>Social Programmes Manager</w:t>
                  </w:r>
                </w:p>
              </w:tc>
            </w:tr>
          </w:tbl>
          <w:p w14:paraId="010A2D6F" w14:textId="77777777" w:rsidR="008713C8" w:rsidRPr="009217D8" w:rsidRDefault="008713C8" w:rsidP="00F256A8">
            <w:pPr>
              <w:rPr>
                <w:rFonts w:cstheme="minorHAnsi"/>
                <w:color w:val="auto"/>
                <w:sz w:val="20"/>
                <w:szCs w:val="20"/>
              </w:rPr>
            </w:pPr>
          </w:p>
        </w:tc>
      </w:tr>
      <w:tr w:rsidR="009217D8" w:rsidRPr="009217D8" w14:paraId="4A3F82A5" w14:textId="77777777" w:rsidTr="008713C8">
        <w:trPr>
          <w:trHeight w:val="3314"/>
        </w:trPr>
        <w:tc>
          <w:tcPr>
            <w:tcW w:w="9853" w:type="dxa"/>
            <w:vAlign w:val="center"/>
          </w:tcPr>
          <w:p w14:paraId="38934A08" w14:textId="77777777" w:rsidR="008713C8" w:rsidRPr="009217D8" w:rsidRDefault="008713C8" w:rsidP="00F256A8">
            <w:pPr>
              <w:rPr>
                <w:rFonts w:cstheme="minorHAnsi"/>
                <w:color w:val="auto"/>
                <w:sz w:val="20"/>
                <w:szCs w:val="20"/>
              </w:rPr>
            </w:pPr>
            <w:r w:rsidRPr="009217D8">
              <w:rPr>
                <w:rFonts w:cstheme="minorHAnsi"/>
                <w:color w:val="auto"/>
                <w:sz w:val="20"/>
                <w:szCs w:val="20"/>
              </w:rPr>
              <w:t>Stage 2: GD2CVG Panel Review</w:t>
            </w:r>
          </w:p>
          <w:p w14:paraId="058BEBC1" w14:textId="77777777" w:rsidR="008713C8" w:rsidRPr="009217D8" w:rsidRDefault="008713C8" w:rsidP="00F256A8">
            <w:pPr>
              <w:rPr>
                <w:rFonts w:cstheme="minorHAnsi"/>
                <w:b/>
                <w:bCs/>
                <w:color w:val="auto"/>
                <w:sz w:val="20"/>
                <w:szCs w:val="20"/>
              </w:rPr>
            </w:pPr>
            <w:r w:rsidRPr="009217D8">
              <w:rPr>
                <w:rFonts w:cstheme="minorHAnsi"/>
                <w:b/>
                <w:bCs/>
                <w:color w:val="auto"/>
                <w:sz w:val="20"/>
                <w:szCs w:val="20"/>
              </w:rPr>
              <w:t xml:space="preserve">Meeting date sign off agreed: </w:t>
            </w:r>
          </w:p>
          <w:p w14:paraId="63DFEC3B" w14:textId="77777777" w:rsidR="008713C8" w:rsidRPr="009217D8" w:rsidRDefault="008713C8" w:rsidP="00F256A8">
            <w:pPr>
              <w:rPr>
                <w:rFonts w:cstheme="minorHAnsi"/>
                <w:b/>
                <w:bCs/>
                <w:color w:val="auto"/>
                <w:sz w:val="20"/>
                <w:szCs w:val="20"/>
              </w:rPr>
            </w:pPr>
            <w:r w:rsidRPr="009217D8">
              <w:rPr>
                <w:rFonts w:cstheme="minorHAnsi"/>
                <w:b/>
                <w:bCs/>
                <w:color w:val="auto"/>
                <w:sz w:val="20"/>
                <w:szCs w:val="20"/>
              </w:rPr>
              <w:t>Review completed by:</w:t>
            </w:r>
          </w:p>
          <w:p w14:paraId="20767837" w14:textId="77777777" w:rsidR="008713C8" w:rsidRPr="009217D8" w:rsidRDefault="008713C8" w:rsidP="00F256A8">
            <w:pPr>
              <w:rPr>
                <w:rFonts w:cstheme="minorHAnsi"/>
                <w:color w:val="auto"/>
                <w:sz w:val="20"/>
                <w:szCs w:val="20"/>
              </w:rPr>
            </w:pPr>
          </w:p>
          <w:tbl>
            <w:tblPr>
              <w:tblStyle w:val="TableGrid"/>
              <w:tblW w:w="0" w:type="auto"/>
              <w:tblLook w:val="04A0" w:firstRow="1" w:lastRow="0" w:firstColumn="1" w:lastColumn="0" w:noHBand="0" w:noVBand="1"/>
            </w:tblPr>
            <w:tblGrid>
              <w:gridCol w:w="1136"/>
              <w:gridCol w:w="4473"/>
              <w:gridCol w:w="4047"/>
            </w:tblGrid>
            <w:tr w:rsidR="009217D8" w:rsidRPr="009217D8" w14:paraId="6A786297" w14:textId="77777777" w:rsidTr="003D0BB9">
              <w:trPr>
                <w:trHeight w:val="268"/>
              </w:trPr>
              <w:tc>
                <w:tcPr>
                  <w:tcW w:w="1136" w:type="dxa"/>
                </w:tcPr>
                <w:p w14:paraId="7BEE9537" w14:textId="7C9542D8" w:rsidR="008713C8" w:rsidRPr="009217D8" w:rsidRDefault="008713C8" w:rsidP="00F256A8">
                  <w:pPr>
                    <w:rPr>
                      <w:rFonts w:cstheme="minorHAnsi"/>
                      <w:color w:val="auto"/>
                      <w:sz w:val="20"/>
                      <w:szCs w:val="20"/>
                    </w:rPr>
                  </w:pPr>
                  <w:r w:rsidRPr="009217D8">
                    <w:rPr>
                      <w:rFonts w:cstheme="minorHAnsi"/>
                      <w:color w:val="auto"/>
                      <w:sz w:val="20"/>
                      <w:szCs w:val="20"/>
                    </w:rPr>
                    <w:t>GDN</w:t>
                  </w:r>
                </w:p>
              </w:tc>
              <w:tc>
                <w:tcPr>
                  <w:tcW w:w="4473" w:type="dxa"/>
                </w:tcPr>
                <w:p w14:paraId="0ADF6AE0" w14:textId="22BB0AAD" w:rsidR="008713C8" w:rsidRPr="009217D8" w:rsidRDefault="008713C8" w:rsidP="00F256A8">
                  <w:pPr>
                    <w:rPr>
                      <w:rFonts w:cstheme="minorHAnsi"/>
                      <w:color w:val="auto"/>
                      <w:sz w:val="20"/>
                      <w:szCs w:val="20"/>
                    </w:rPr>
                  </w:pPr>
                  <w:r w:rsidRPr="009217D8">
                    <w:rPr>
                      <w:rFonts w:cstheme="minorHAnsi"/>
                      <w:color w:val="auto"/>
                      <w:sz w:val="20"/>
                      <w:szCs w:val="20"/>
                    </w:rPr>
                    <w:t>Name</w:t>
                  </w:r>
                </w:p>
              </w:tc>
              <w:tc>
                <w:tcPr>
                  <w:tcW w:w="4047" w:type="dxa"/>
                </w:tcPr>
                <w:p w14:paraId="3813CBA6" w14:textId="05325AEC" w:rsidR="008713C8" w:rsidRPr="009217D8" w:rsidRDefault="008713C8" w:rsidP="00F256A8">
                  <w:pPr>
                    <w:rPr>
                      <w:rFonts w:cstheme="minorHAnsi"/>
                      <w:color w:val="auto"/>
                      <w:sz w:val="20"/>
                      <w:szCs w:val="20"/>
                    </w:rPr>
                  </w:pPr>
                  <w:r w:rsidRPr="009217D8">
                    <w:rPr>
                      <w:rFonts w:cstheme="minorHAnsi"/>
                      <w:color w:val="auto"/>
                      <w:sz w:val="20"/>
                      <w:szCs w:val="20"/>
                    </w:rPr>
                    <w:t>Job Title</w:t>
                  </w:r>
                </w:p>
              </w:tc>
            </w:tr>
            <w:tr w:rsidR="009217D8" w:rsidRPr="009217D8" w14:paraId="696FDED6" w14:textId="77777777" w:rsidTr="00F256A8">
              <w:trPr>
                <w:trHeight w:val="420"/>
              </w:trPr>
              <w:tc>
                <w:tcPr>
                  <w:tcW w:w="1136" w:type="dxa"/>
                </w:tcPr>
                <w:p w14:paraId="276B190B" w14:textId="77777777" w:rsidR="008713C8" w:rsidRPr="009217D8" w:rsidRDefault="008713C8" w:rsidP="00F256A8">
                  <w:pPr>
                    <w:rPr>
                      <w:rFonts w:cstheme="minorHAnsi"/>
                      <w:color w:val="auto"/>
                      <w:sz w:val="20"/>
                      <w:szCs w:val="20"/>
                    </w:rPr>
                  </w:pPr>
                  <w:r w:rsidRPr="009217D8">
                    <w:rPr>
                      <w:rFonts w:cstheme="minorHAnsi"/>
                      <w:color w:val="auto"/>
                      <w:sz w:val="20"/>
                      <w:szCs w:val="20"/>
                    </w:rPr>
                    <w:t>NGN</w:t>
                  </w:r>
                </w:p>
              </w:tc>
              <w:tc>
                <w:tcPr>
                  <w:tcW w:w="4473" w:type="dxa"/>
                </w:tcPr>
                <w:p w14:paraId="52AC7AD6" w14:textId="77777777" w:rsidR="008713C8" w:rsidRPr="009217D8" w:rsidRDefault="008713C8" w:rsidP="00F256A8">
                  <w:pPr>
                    <w:rPr>
                      <w:rFonts w:cstheme="minorHAnsi"/>
                      <w:color w:val="auto"/>
                      <w:sz w:val="20"/>
                      <w:szCs w:val="20"/>
                    </w:rPr>
                  </w:pPr>
                  <w:r w:rsidRPr="009217D8">
                    <w:rPr>
                      <w:rFonts w:cstheme="minorHAnsi"/>
                      <w:color w:val="auto"/>
                      <w:sz w:val="20"/>
                      <w:szCs w:val="20"/>
                    </w:rPr>
                    <w:t>Eileen Brown</w:t>
                  </w:r>
                </w:p>
              </w:tc>
              <w:tc>
                <w:tcPr>
                  <w:tcW w:w="4047" w:type="dxa"/>
                </w:tcPr>
                <w:p w14:paraId="3DF1344A" w14:textId="77777777" w:rsidR="008713C8" w:rsidRPr="009217D8" w:rsidRDefault="008713C8" w:rsidP="00F256A8">
                  <w:pPr>
                    <w:rPr>
                      <w:rFonts w:cstheme="minorHAnsi"/>
                      <w:color w:val="auto"/>
                      <w:sz w:val="20"/>
                      <w:szCs w:val="20"/>
                    </w:rPr>
                  </w:pPr>
                  <w:r w:rsidRPr="009217D8">
                    <w:rPr>
                      <w:rFonts w:cstheme="minorHAnsi"/>
                      <w:color w:val="auto"/>
                      <w:sz w:val="20"/>
                      <w:szCs w:val="20"/>
                    </w:rPr>
                    <w:t>Customer Experience Director</w:t>
                  </w:r>
                </w:p>
              </w:tc>
            </w:tr>
            <w:tr w:rsidR="009217D8" w:rsidRPr="009217D8" w14:paraId="7DA8FB8B" w14:textId="77777777" w:rsidTr="00F256A8">
              <w:trPr>
                <w:trHeight w:val="398"/>
              </w:trPr>
              <w:tc>
                <w:tcPr>
                  <w:tcW w:w="1136" w:type="dxa"/>
                </w:tcPr>
                <w:p w14:paraId="03C49D6D" w14:textId="77777777" w:rsidR="008713C8" w:rsidRPr="009217D8" w:rsidRDefault="008713C8" w:rsidP="00F256A8">
                  <w:pPr>
                    <w:rPr>
                      <w:rFonts w:cstheme="minorHAnsi"/>
                      <w:color w:val="auto"/>
                      <w:sz w:val="20"/>
                      <w:szCs w:val="20"/>
                    </w:rPr>
                  </w:pPr>
                  <w:r w:rsidRPr="009217D8">
                    <w:rPr>
                      <w:rFonts w:cstheme="minorHAnsi"/>
                      <w:color w:val="auto"/>
                      <w:sz w:val="20"/>
                      <w:szCs w:val="20"/>
                    </w:rPr>
                    <w:t>SGN</w:t>
                  </w:r>
                </w:p>
              </w:tc>
              <w:tc>
                <w:tcPr>
                  <w:tcW w:w="4473" w:type="dxa"/>
                </w:tcPr>
                <w:p w14:paraId="28D7FE5E" w14:textId="77777777" w:rsidR="008713C8" w:rsidRPr="009217D8" w:rsidRDefault="008713C8" w:rsidP="00F256A8">
                  <w:pPr>
                    <w:rPr>
                      <w:rFonts w:cstheme="minorHAnsi"/>
                      <w:color w:val="auto"/>
                      <w:sz w:val="20"/>
                      <w:szCs w:val="20"/>
                    </w:rPr>
                  </w:pPr>
                  <w:r w:rsidRPr="009217D8">
                    <w:rPr>
                      <w:rFonts w:cstheme="minorHAnsi"/>
                      <w:color w:val="auto"/>
                      <w:sz w:val="20"/>
                      <w:szCs w:val="20"/>
                    </w:rPr>
                    <w:t>Maureen McIntosh</w:t>
                  </w:r>
                </w:p>
              </w:tc>
              <w:tc>
                <w:tcPr>
                  <w:tcW w:w="4047" w:type="dxa"/>
                </w:tcPr>
                <w:p w14:paraId="01463697" w14:textId="77777777" w:rsidR="008713C8" w:rsidRPr="009217D8" w:rsidRDefault="008713C8" w:rsidP="00F256A8">
                  <w:pPr>
                    <w:rPr>
                      <w:rFonts w:cstheme="minorHAnsi"/>
                      <w:color w:val="auto"/>
                      <w:sz w:val="20"/>
                      <w:szCs w:val="20"/>
                    </w:rPr>
                  </w:pPr>
                  <w:r w:rsidRPr="009217D8">
                    <w:rPr>
                      <w:rFonts w:cstheme="minorHAnsi"/>
                      <w:color w:val="auto"/>
                      <w:sz w:val="20"/>
                      <w:szCs w:val="20"/>
                    </w:rPr>
                    <w:t xml:space="preserve">Director of Customer Services </w:t>
                  </w:r>
                </w:p>
              </w:tc>
            </w:tr>
            <w:tr w:rsidR="009217D8" w:rsidRPr="009217D8" w14:paraId="11CBF089" w14:textId="77777777" w:rsidTr="00F256A8">
              <w:trPr>
                <w:trHeight w:val="432"/>
              </w:trPr>
              <w:tc>
                <w:tcPr>
                  <w:tcW w:w="1136" w:type="dxa"/>
                </w:tcPr>
                <w:p w14:paraId="56C708A5" w14:textId="77777777" w:rsidR="008713C8" w:rsidRPr="009217D8" w:rsidRDefault="008713C8" w:rsidP="00F256A8">
                  <w:pPr>
                    <w:rPr>
                      <w:rFonts w:cstheme="minorHAnsi"/>
                      <w:color w:val="auto"/>
                      <w:sz w:val="20"/>
                      <w:szCs w:val="20"/>
                    </w:rPr>
                  </w:pPr>
                  <w:r w:rsidRPr="009217D8">
                    <w:rPr>
                      <w:rFonts w:cstheme="minorHAnsi"/>
                      <w:color w:val="auto"/>
                      <w:sz w:val="20"/>
                      <w:szCs w:val="20"/>
                    </w:rPr>
                    <w:t>WWU</w:t>
                  </w:r>
                </w:p>
              </w:tc>
              <w:tc>
                <w:tcPr>
                  <w:tcW w:w="4473" w:type="dxa"/>
                </w:tcPr>
                <w:p w14:paraId="2CA37EC7" w14:textId="77777777" w:rsidR="008713C8" w:rsidRPr="009217D8" w:rsidRDefault="008713C8" w:rsidP="00F256A8">
                  <w:pPr>
                    <w:rPr>
                      <w:rFonts w:cstheme="minorHAnsi"/>
                      <w:color w:val="auto"/>
                      <w:sz w:val="20"/>
                      <w:szCs w:val="20"/>
                    </w:rPr>
                  </w:pPr>
                  <w:r w:rsidRPr="009217D8">
                    <w:rPr>
                      <w:rFonts w:cstheme="minorHAnsi"/>
                      <w:color w:val="auto"/>
                      <w:sz w:val="20"/>
                      <w:szCs w:val="20"/>
                    </w:rPr>
                    <w:t>Nigel Winnan</w:t>
                  </w:r>
                </w:p>
              </w:tc>
              <w:tc>
                <w:tcPr>
                  <w:tcW w:w="4047" w:type="dxa"/>
                </w:tcPr>
                <w:p w14:paraId="17437428" w14:textId="77777777" w:rsidR="008713C8" w:rsidRPr="009217D8" w:rsidRDefault="008713C8" w:rsidP="00F256A8">
                  <w:pPr>
                    <w:rPr>
                      <w:rFonts w:cstheme="minorHAnsi"/>
                      <w:color w:val="auto"/>
                      <w:sz w:val="20"/>
                      <w:szCs w:val="20"/>
                    </w:rPr>
                  </w:pPr>
                  <w:r w:rsidRPr="009217D8">
                    <w:rPr>
                      <w:rFonts w:cstheme="minorHAnsi"/>
                      <w:color w:val="auto"/>
                      <w:sz w:val="20"/>
                      <w:szCs w:val="20"/>
                    </w:rPr>
                    <w:t>Customer &amp; Social Obligations Strategy Manager</w:t>
                  </w:r>
                </w:p>
              </w:tc>
            </w:tr>
            <w:tr w:rsidR="009217D8" w:rsidRPr="009217D8" w14:paraId="4682A51B" w14:textId="77777777" w:rsidTr="00F256A8">
              <w:trPr>
                <w:trHeight w:val="432"/>
              </w:trPr>
              <w:tc>
                <w:tcPr>
                  <w:tcW w:w="1136" w:type="dxa"/>
                </w:tcPr>
                <w:p w14:paraId="57D76E9E" w14:textId="77777777" w:rsidR="008713C8" w:rsidRPr="009217D8" w:rsidRDefault="008713C8" w:rsidP="00F256A8">
                  <w:pPr>
                    <w:rPr>
                      <w:rFonts w:cstheme="minorHAnsi"/>
                      <w:color w:val="auto"/>
                      <w:sz w:val="20"/>
                      <w:szCs w:val="20"/>
                    </w:rPr>
                  </w:pPr>
                  <w:r w:rsidRPr="009217D8">
                    <w:rPr>
                      <w:rFonts w:cstheme="minorHAnsi"/>
                      <w:color w:val="auto"/>
                      <w:sz w:val="20"/>
                      <w:szCs w:val="20"/>
                    </w:rPr>
                    <w:t>Cadent</w:t>
                  </w:r>
                </w:p>
              </w:tc>
              <w:tc>
                <w:tcPr>
                  <w:tcW w:w="4473" w:type="dxa"/>
                </w:tcPr>
                <w:p w14:paraId="7EBB7BBC" w14:textId="77777777" w:rsidR="008713C8" w:rsidRPr="009217D8" w:rsidRDefault="008713C8" w:rsidP="00F256A8">
                  <w:pPr>
                    <w:rPr>
                      <w:rFonts w:cstheme="minorHAnsi"/>
                      <w:color w:val="auto"/>
                      <w:sz w:val="20"/>
                      <w:szCs w:val="20"/>
                    </w:rPr>
                  </w:pPr>
                  <w:r w:rsidRPr="009217D8">
                    <w:rPr>
                      <w:rFonts w:cstheme="minorHAnsi"/>
                      <w:color w:val="auto"/>
                      <w:sz w:val="20"/>
                      <w:szCs w:val="20"/>
                    </w:rPr>
                    <w:t>Phil Burrows</w:t>
                  </w:r>
                </w:p>
              </w:tc>
              <w:tc>
                <w:tcPr>
                  <w:tcW w:w="4047" w:type="dxa"/>
                </w:tcPr>
                <w:p w14:paraId="7986E16A" w14:textId="77777777" w:rsidR="008713C8" w:rsidRPr="009217D8" w:rsidRDefault="008713C8" w:rsidP="00F256A8">
                  <w:pPr>
                    <w:rPr>
                      <w:rFonts w:cstheme="minorHAnsi"/>
                      <w:color w:val="auto"/>
                      <w:sz w:val="20"/>
                      <w:szCs w:val="20"/>
                    </w:rPr>
                  </w:pPr>
                  <w:r w:rsidRPr="009217D8">
                    <w:rPr>
                      <w:rFonts w:cstheme="minorHAnsi"/>
                      <w:color w:val="auto"/>
                      <w:sz w:val="20"/>
                      <w:szCs w:val="20"/>
                    </w:rPr>
                    <w:t>Head of Customer Vulnerability Social Programme Delivery</w:t>
                  </w:r>
                </w:p>
              </w:tc>
            </w:tr>
          </w:tbl>
          <w:p w14:paraId="5CE7F8C5" w14:textId="77777777" w:rsidR="008713C8" w:rsidRPr="009217D8" w:rsidRDefault="008713C8" w:rsidP="00F256A8">
            <w:pPr>
              <w:rPr>
                <w:rFonts w:cstheme="minorHAnsi"/>
                <w:color w:val="auto"/>
                <w:sz w:val="20"/>
                <w:szCs w:val="20"/>
              </w:rPr>
            </w:pPr>
          </w:p>
        </w:tc>
      </w:tr>
      <w:tr w:rsidR="009217D8" w:rsidRPr="009217D8" w14:paraId="38AB2121" w14:textId="77777777" w:rsidTr="00F256A8">
        <w:trPr>
          <w:trHeight w:val="556"/>
        </w:trPr>
        <w:tc>
          <w:tcPr>
            <w:tcW w:w="9853" w:type="dxa"/>
            <w:tcBorders>
              <w:bottom w:val="nil"/>
            </w:tcBorders>
            <w:vAlign w:val="center"/>
          </w:tcPr>
          <w:p w14:paraId="0183CF0F" w14:textId="77777777" w:rsidR="008713C8" w:rsidRPr="009217D8" w:rsidRDefault="008713C8" w:rsidP="00F256A8">
            <w:pPr>
              <w:rPr>
                <w:rFonts w:cstheme="minorHAnsi"/>
                <w:color w:val="auto"/>
                <w:sz w:val="20"/>
                <w:szCs w:val="20"/>
              </w:rPr>
            </w:pPr>
            <w:r w:rsidRPr="009217D8">
              <w:rPr>
                <w:rFonts w:cstheme="minorHAnsi"/>
                <w:color w:val="auto"/>
                <w:sz w:val="20"/>
                <w:szCs w:val="20"/>
              </w:rPr>
              <w:t>Step 3: Participating GDN individual signatory sign-off</w:t>
            </w:r>
          </w:p>
        </w:tc>
      </w:tr>
      <w:tr w:rsidR="009217D8" w:rsidRPr="009217D8" w14:paraId="630B4715" w14:textId="77777777" w:rsidTr="008713C8">
        <w:trPr>
          <w:trHeight w:val="1134"/>
        </w:trPr>
        <w:tc>
          <w:tcPr>
            <w:tcW w:w="9853" w:type="dxa"/>
            <w:tcBorders>
              <w:top w:val="nil"/>
            </w:tcBorders>
            <w:vAlign w:val="center"/>
          </w:tcPr>
          <w:tbl>
            <w:tblPr>
              <w:tblStyle w:val="TableGrid"/>
              <w:tblW w:w="0" w:type="auto"/>
              <w:tblLook w:val="04A0" w:firstRow="1" w:lastRow="0" w:firstColumn="1" w:lastColumn="0" w:noHBand="0" w:noVBand="1"/>
            </w:tblPr>
            <w:tblGrid>
              <w:gridCol w:w="888"/>
              <w:gridCol w:w="1209"/>
              <w:gridCol w:w="2309"/>
              <w:gridCol w:w="4154"/>
              <w:gridCol w:w="1096"/>
            </w:tblGrid>
            <w:tr w:rsidR="009217D8" w:rsidRPr="009217D8" w14:paraId="046BFA0A" w14:textId="77777777" w:rsidTr="008713C8">
              <w:tc>
                <w:tcPr>
                  <w:tcW w:w="913" w:type="dxa"/>
                  <w:tcBorders>
                    <w:bottom w:val="single" w:sz="4" w:space="0" w:color="auto"/>
                  </w:tcBorders>
                </w:tcPr>
                <w:p w14:paraId="1822CF0D" w14:textId="77777777" w:rsidR="008713C8" w:rsidRPr="009217D8" w:rsidRDefault="008713C8" w:rsidP="00F256A8">
                  <w:pPr>
                    <w:jc w:val="center"/>
                    <w:rPr>
                      <w:rFonts w:cstheme="minorHAnsi"/>
                      <w:color w:val="auto"/>
                      <w:sz w:val="20"/>
                      <w:szCs w:val="20"/>
                    </w:rPr>
                  </w:pPr>
                  <w:r w:rsidRPr="009217D8">
                    <w:rPr>
                      <w:rFonts w:cstheme="minorHAnsi"/>
                      <w:color w:val="auto"/>
                      <w:sz w:val="20"/>
                      <w:szCs w:val="20"/>
                    </w:rPr>
                    <w:t>GDN</w:t>
                  </w:r>
                </w:p>
              </w:tc>
              <w:tc>
                <w:tcPr>
                  <w:tcW w:w="1380" w:type="dxa"/>
                  <w:tcBorders>
                    <w:bottom w:val="single" w:sz="4" w:space="0" w:color="auto"/>
                  </w:tcBorders>
                </w:tcPr>
                <w:p w14:paraId="0A6DDF6C" w14:textId="77777777" w:rsidR="008713C8" w:rsidRPr="009217D8" w:rsidRDefault="008713C8" w:rsidP="00F256A8">
                  <w:pPr>
                    <w:jc w:val="center"/>
                    <w:rPr>
                      <w:rFonts w:cstheme="minorHAnsi"/>
                      <w:color w:val="auto"/>
                      <w:sz w:val="20"/>
                      <w:szCs w:val="20"/>
                    </w:rPr>
                  </w:pPr>
                  <w:r w:rsidRPr="009217D8">
                    <w:rPr>
                      <w:rFonts w:cstheme="minorHAnsi"/>
                      <w:color w:val="auto"/>
                      <w:sz w:val="20"/>
                      <w:szCs w:val="20"/>
                    </w:rPr>
                    <w:t>Name:</w:t>
                  </w:r>
                </w:p>
              </w:tc>
              <w:tc>
                <w:tcPr>
                  <w:tcW w:w="3260" w:type="dxa"/>
                  <w:tcBorders>
                    <w:bottom w:val="single" w:sz="4" w:space="0" w:color="auto"/>
                  </w:tcBorders>
                </w:tcPr>
                <w:p w14:paraId="3420E077" w14:textId="77777777" w:rsidR="008713C8" w:rsidRPr="009217D8" w:rsidRDefault="008713C8" w:rsidP="00F256A8">
                  <w:pPr>
                    <w:jc w:val="center"/>
                    <w:rPr>
                      <w:rFonts w:cstheme="minorHAnsi"/>
                      <w:color w:val="auto"/>
                      <w:sz w:val="20"/>
                      <w:szCs w:val="20"/>
                    </w:rPr>
                  </w:pPr>
                  <w:r w:rsidRPr="009217D8">
                    <w:rPr>
                      <w:rFonts w:cstheme="minorHAnsi"/>
                      <w:color w:val="auto"/>
                      <w:sz w:val="20"/>
                      <w:szCs w:val="20"/>
                    </w:rPr>
                    <w:t>Job Title:</w:t>
                  </w:r>
                </w:p>
              </w:tc>
              <w:tc>
                <w:tcPr>
                  <w:tcW w:w="2911" w:type="dxa"/>
                  <w:tcBorders>
                    <w:bottom w:val="single" w:sz="4" w:space="0" w:color="auto"/>
                  </w:tcBorders>
                </w:tcPr>
                <w:p w14:paraId="6C5011D7" w14:textId="77777777" w:rsidR="008713C8" w:rsidRPr="009217D8" w:rsidRDefault="008713C8" w:rsidP="00F256A8">
                  <w:pPr>
                    <w:jc w:val="center"/>
                    <w:rPr>
                      <w:rFonts w:cstheme="minorHAnsi"/>
                      <w:color w:val="auto"/>
                      <w:sz w:val="20"/>
                      <w:szCs w:val="20"/>
                    </w:rPr>
                  </w:pPr>
                  <w:r w:rsidRPr="009217D8">
                    <w:rPr>
                      <w:rFonts w:cstheme="minorHAnsi"/>
                      <w:color w:val="auto"/>
                      <w:sz w:val="20"/>
                      <w:szCs w:val="20"/>
                    </w:rPr>
                    <w:t>Signature:</w:t>
                  </w:r>
                </w:p>
              </w:tc>
              <w:tc>
                <w:tcPr>
                  <w:tcW w:w="1192" w:type="dxa"/>
                  <w:tcBorders>
                    <w:bottom w:val="single" w:sz="4" w:space="0" w:color="auto"/>
                  </w:tcBorders>
                </w:tcPr>
                <w:p w14:paraId="56C9526D" w14:textId="77777777" w:rsidR="008713C8" w:rsidRPr="009217D8" w:rsidRDefault="008713C8" w:rsidP="00F256A8">
                  <w:pPr>
                    <w:jc w:val="center"/>
                    <w:rPr>
                      <w:rFonts w:cstheme="minorHAnsi"/>
                      <w:color w:val="auto"/>
                      <w:sz w:val="20"/>
                      <w:szCs w:val="20"/>
                    </w:rPr>
                  </w:pPr>
                  <w:r w:rsidRPr="009217D8">
                    <w:rPr>
                      <w:rFonts w:cstheme="minorHAnsi"/>
                      <w:color w:val="auto"/>
                      <w:sz w:val="20"/>
                      <w:szCs w:val="20"/>
                    </w:rPr>
                    <w:t>Date:</w:t>
                  </w:r>
                </w:p>
              </w:tc>
            </w:tr>
            <w:tr w:rsidR="009217D8" w:rsidRPr="009217D8" w14:paraId="04DF656C" w14:textId="77777777" w:rsidTr="003D0BB9">
              <w:trPr>
                <w:trHeight w:val="646"/>
              </w:trPr>
              <w:tc>
                <w:tcPr>
                  <w:tcW w:w="913" w:type="dxa"/>
                </w:tcPr>
                <w:p w14:paraId="3D640E53" w14:textId="77777777" w:rsidR="008713C8" w:rsidRPr="009217D8" w:rsidRDefault="008713C8" w:rsidP="00F256A8">
                  <w:pPr>
                    <w:rPr>
                      <w:rFonts w:cstheme="minorHAnsi"/>
                      <w:color w:val="auto"/>
                      <w:sz w:val="20"/>
                      <w:szCs w:val="20"/>
                    </w:rPr>
                  </w:pPr>
                  <w:r w:rsidRPr="009217D8">
                    <w:rPr>
                      <w:rFonts w:cstheme="minorHAnsi"/>
                      <w:color w:val="auto"/>
                      <w:sz w:val="20"/>
                      <w:szCs w:val="20"/>
                    </w:rPr>
                    <w:t>NGN:</w:t>
                  </w:r>
                </w:p>
              </w:tc>
              <w:tc>
                <w:tcPr>
                  <w:tcW w:w="1380" w:type="dxa"/>
                </w:tcPr>
                <w:p w14:paraId="428664F0" w14:textId="77777777" w:rsidR="008713C8" w:rsidRPr="009217D8" w:rsidRDefault="008713C8" w:rsidP="00F256A8">
                  <w:pPr>
                    <w:rPr>
                      <w:rFonts w:cstheme="minorHAnsi"/>
                      <w:color w:val="auto"/>
                      <w:sz w:val="20"/>
                      <w:szCs w:val="20"/>
                    </w:rPr>
                  </w:pPr>
                  <w:r w:rsidRPr="009217D8">
                    <w:rPr>
                      <w:rFonts w:cstheme="minorHAnsi"/>
                      <w:color w:val="auto"/>
                      <w:sz w:val="20"/>
                      <w:szCs w:val="20"/>
                    </w:rPr>
                    <w:t>Eileen Brown</w:t>
                  </w:r>
                </w:p>
              </w:tc>
              <w:tc>
                <w:tcPr>
                  <w:tcW w:w="3260" w:type="dxa"/>
                </w:tcPr>
                <w:p w14:paraId="38DB1C69" w14:textId="77777777" w:rsidR="008713C8" w:rsidRPr="009217D8" w:rsidRDefault="008713C8" w:rsidP="00F256A8">
                  <w:pPr>
                    <w:rPr>
                      <w:rFonts w:cstheme="minorHAnsi"/>
                      <w:color w:val="auto"/>
                      <w:sz w:val="20"/>
                      <w:szCs w:val="20"/>
                    </w:rPr>
                  </w:pPr>
                  <w:r w:rsidRPr="009217D8">
                    <w:rPr>
                      <w:rFonts w:cstheme="minorHAnsi"/>
                      <w:color w:val="auto"/>
                      <w:sz w:val="20"/>
                      <w:szCs w:val="20"/>
                    </w:rPr>
                    <w:t>Customer Experience Director</w:t>
                  </w:r>
                </w:p>
              </w:tc>
              <w:tc>
                <w:tcPr>
                  <w:tcW w:w="2911" w:type="dxa"/>
                </w:tcPr>
                <w:p w14:paraId="48DDBE16" w14:textId="0E637A0D" w:rsidR="008713C8" w:rsidRPr="009217D8" w:rsidRDefault="00FA0A0E" w:rsidP="00F256A8">
                  <w:pPr>
                    <w:rPr>
                      <w:rFonts w:cstheme="minorHAnsi"/>
                      <w:color w:val="auto"/>
                      <w:sz w:val="20"/>
                      <w:szCs w:val="20"/>
                    </w:rPr>
                  </w:pPr>
                  <w:r>
                    <w:rPr>
                      <w:noProof/>
                    </w:rPr>
                    <w:drawing>
                      <wp:inline distT="0" distB="0" distL="0" distR="0" wp14:anchorId="194DFF8B" wp14:editId="57D1E4FA">
                        <wp:extent cx="1955800" cy="657225"/>
                        <wp:effectExtent l="0" t="0" r="0" b="9525"/>
                        <wp:docPr id="2"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5800" cy="657225"/>
                                </a:xfrm>
                                <a:prstGeom prst="rect">
                                  <a:avLst/>
                                </a:prstGeom>
                              </pic:spPr>
                            </pic:pic>
                          </a:graphicData>
                        </a:graphic>
                      </wp:inline>
                    </w:drawing>
                  </w:r>
                </w:p>
              </w:tc>
              <w:tc>
                <w:tcPr>
                  <w:tcW w:w="1192" w:type="dxa"/>
                </w:tcPr>
                <w:p w14:paraId="7DD238F1" w14:textId="1A2321A6" w:rsidR="008713C8" w:rsidRPr="009217D8" w:rsidRDefault="00FA0A0E" w:rsidP="00F256A8">
                  <w:pPr>
                    <w:rPr>
                      <w:rFonts w:cstheme="minorHAnsi"/>
                      <w:color w:val="auto"/>
                      <w:sz w:val="20"/>
                      <w:szCs w:val="20"/>
                    </w:rPr>
                  </w:pPr>
                  <w:r>
                    <w:rPr>
                      <w:rFonts w:cstheme="minorHAnsi"/>
                      <w:color w:val="auto"/>
                      <w:sz w:val="20"/>
                      <w:szCs w:val="20"/>
                    </w:rPr>
                    <w:t>23/06/24</w:t>
                  </w:r>
                </w:p>
              </w:tc>
            </w:tr>
            <w:tr w:rsidR="009217D8" w:rsidRPr="009217D8" w14:paraId="2751F954" w14:textId="77777777" w:rsidTr="003D0BB9">
              <w:trPr>
                <w:trHeight w:val="697"/>
              </w:trPr>
              <w:tc>
                <w:tcPr>
                  <w:tcW w:w="913" w:type="dxa"/>
                </w:tcPr>
                <w:p w14:paraId="09429B0F" w14:textId="77777777" w:rsidR="008713C8" w:rsidRPr="009217D8" w:rsidRDefault="008713C8" w:rsidP="00F256A8">
                  <w:pPr>
                    <w:rPr>
                      <w:rFonts w:cstheme="minorHAnsi"/>
                      <w:color w:val="auto"/>
                      <w:sz w:val="20"/>
                      <w:szCs w:val="20"/>
                    </w:rPr>
                  </w:pPr>
                  <w:r w:rsidRPr="009217D8">
                    <w:rPr>
                      <w:rFonts w:cstheme="minorHAnsi"/>
                      <w:color w:val="auto"/>
                      <w:sz w:val="20"/>
                      <w:szCs w:val="20"/>
                    </w:rPr>
                    <w:t>SGN:</w:t>
                  </w:r>
                </w:p>
              </w:tc>
              <w:tc>
                <w:tcPr>
                  <w:tcW w:w="1380" w:type="dxa"/>
                </w:tcPr>
                <w:p w14:paraId="5B43321D" w14:textId="7A5CA955" w:rsidR="008713C8" w:rsidRPr="009217D8" w:rsidRDefault="00C2043D" w:rsidP="00F256A8">
                  <w:pPr>
                    <w:rPr>
                      <w:rFonts w:cstheme="minorHAnsi"/>
                      <w:color w:val="auto"/>
                      <w:sz w:val="20"/>
                      <w:szCs w:val="20"/>
                    </w:rPr>
                  </w:pPr>
                  <w:r w:rsidRPr="009217D8">
                    <w:rPr>
                      <w:rFonts w:cstheme="minorHAnsi"/>
                      <w:color w:val="auto"/>
                      <w:sz w:val="20"/>
                      <w:szCs w:val="20"/>
                    </w:rPr>
                    <w:t xml:space="preserve">Maureen McIntosh </w:t>
                  </w:r>
                </w:p>
              </w:tc>
              <w:tc>
                <w:tcPr>
                  <w:tcW w:w="3260" w:type="dxa"/>
                </w:tcPr>
                <w:p w14:paraId="3BE66E0F" w14:textId="4FD9236E" w:rsidR="008713C8" w:rsidRPr="009217D8" w:rsidRDefault="008713C8" w:rsidP="00F256A8">
                  <w:pPr>
                    <w:rPr>
                      <w:rFonts w:cstheme="minorHAnsi"/>
                      <w:color w:val="auto"/>
                      <w:sz w:val="20"/>
                      <w:szCs w:val="20"/>
                    </w:rPr>
                  </w:pPr>
                  <w:r w:rsidRPr="009217D8">
                    <w:rPr>
                      <w:rFonts w:cstheme="minorHAnsi"/>
                      <w:color w:val="auto"/>
                      <w:sz w:val="20"/>
                      <w:szCs w:val="20"/>
                    </w:rPr>
                    <w:t xml:space="preserve">Director of </w:t>
                  </w:r>
                  <w:r w:rsidR="00C2043D" w:rsidRPr="009217D8">
                    <w:rPr>
                      <w:rFonts w:cstheme="minorHAnsi"/>
                      <w:color w:val="auto"/>
                      <w:sz w:val="20"/>
                      <w:szCs w:val="20"/>
                    </w:rPr>
                    <w:t xml:space="preserve">Customer Services </w:t>
                  </w:r>
                </w:p>
              </w:tc>
              <w:tc>
                <w:tcPr>
                  <w:tcW w:w="2911" w:type="dxa"/>
                </w:tcPr>
                <w:p w14:paraId="12190207" w14:textId="45A10B10" w:rsidR="008713C8" w:rsidRPr="009217D8" w:rsidRDefault="00061C9F" w:rsidP="00F256A8">
                  <w:pPr>
                    <w:rPr>
                      <w:rFonts w:cstheme="minorHAnsi"/>
                      <w:color w:val="auto"/>
                      <w:sz w:val="20"/>
                      <w:szCs w:val="20"/>
                    </w:rPr>
                  </w:pPr>
                  <w:r w:rsidRPr="009217D8">
                    <w:rPr>
                      <w:rFonts w:cstheme="minorHAnsi"/>
                      <w:noProof/>
                      <w:color w:val="auto"/>
                      <w:sz w:val="20"/>
                      <w:szCs w:val="20"/>
                    </w:rPr>
                    <w:drawing>
                      <wp:inline distT="0" distB="0" distL="0" distR="0" wp14:anchorId="6201C23D" wp14:editId="69859B3B">
                        <wp:extent cx="1381125" cy="361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1125" cy="361950"/>
                                </a:xfrm>
                                <a:prstGeom prst="rect">
                                  <a:avLst/>
                                </a:prstGeom>
                                <a:noFill/>
                                <a:ln>
                                  <a:noFill/>
                                </a:ln>
                              </pic:spPr>
                            </pic:pic>
                          </a:graphicData>
                        </a:graphic>
                      </wp:inline>
                    </w:drawing>
                  </w:r>
                </w:p>
              </w:tc>
              <w:tc>
                <w:tcPr>
                  <w:tcW w:w="1192" w:type="dxa"/>
                </w:tcPr>
                <w:p w14:paraId="646F9272" w14:textId="571E4355" w:rsidR="008713C8" w:rsidRPr="009217D8" w:rsidRDefault="00061C9F" w:rsidP="00F256A8">
                  <w:pPr>
                    <w:rPr>
                      <w:rFonts w:cstheme="minorHAnsi"/>
                      <w:color w:val="auto"/>
                      <w:sz w:val="20"/>
                      <w:szCs w:val="20"/>
                    </w:rPr>
                  </w:pPr>
                  <w:r w:rsidRPr="009217D8">
                    <w:rPr>
                      <w:rFonts w:cstheme="minorHAnsi"/>
                      <w:color w:val="auto"/>
                      <w:sz w:val="20"/>
                      <w:szCs w:val="20"/>
                    </w:rPr>
                    <w:t>13/06/24</w:t>
                  </w:r>
                </w:p>
              </w:tc>
            </w:tr>
            <w:tr w:rsidR="009217D8" w:rsidRPr="009217D8" w14:paraId="6332EFBF" w14:textId="77777777" w:rsidTr="003D0BB9">
              <w:trPr>
                <w:trHeight w:val="694"/>
              </w:trPr>
              <w:tc>
                <w:tcPr>
                  <w:tcW w:w="913" w:type="dxa"/>
                </w:tcPr>
                <w:p w14:paraId="0ED6E429" w14:textId="77777777" w:rsidR="008713C8" w:rsidRPr="009217D8" w:rsidRDefault="008713C8" w:rsidP="00F256A8">
                  <w:pPr>
                    <w:rPr>
                      <w:rFonts w:cstheme="minorHAnsi"/>
                      <w:color w:val="auto"/>
                      <w:sz w:val="20"/>
                      <w:szCs w:val="20"/>
                    </w:rPr>
                  </w:pPr>
                  <w:r w:rsidRPr="009217D8">
                    <w:rPr>
                      <w:rFonts w:cstheme="minorHAnsi"/>
                      <w:color w:val="auto"/>
                      <w:sz w:val="20"/>
                      <w:szCs w:val="20"/>
                    </w:rPr>
                    <w:t>WWU:</w:t>
                  </w:r>
                </w:p>
              </w:tc>
              <w:tc>
                <w:tcPr>
                  <w:tcW w:w="1380" w:type="dxa"/>
                </w:tcPr>
                <w:p w14:paraId="64FBA7CC" w14:textId="77777777" w:rsidR="008713C8" w:rsidRPr="009217D8" w:rsidRDefault="008713C8" w:rsidP="00F256A8">
                  <w:pPr>
                    <w:rPr>
                      <w:rFonts w:cstheme="minorHAnsi"/>
                      <w:color w:val="auto"/>
                      <w:sz w:val="20"/>
                      <w:szCs w:val="20"/>
                    </w:rPr>
                  </w:pPr>
                  <w:r w:rsidRPr="009217D8">
                    <w:rPr>
                      <w:rFonts w:cstheme="minorHAnsi"/>
                      <w:color w:val="auto"/>
                      <w:sz w:val="20"/>
                      <w:szCs w:val="20"/>
                    </w:rPr>
                    <w:t>Nigel Winnan</w:t>
                  </w:r>
                </w:p>
              </w:tc>
              <w:tc>
                <w:tcPr>
                  <w:tcW w:w="3260" w:type="dxa"/>
                </w:tcPr>
                <w:p w14:paraId="25613213" w14:textId="77777777" w:rsidR="008713C8" w:rsidRPr="009217D8" w:rsidRDefault="008713C8" w:rsidP="00F256A8">
                  <w:pPr>
                    <w:rPr>
                      <w:rFonts w:cstheme="minorHAnsi"/>
                      <w:color w:val="auto"/>
                      <w:sz w:val="20"/>
                      <w:szCs w:val="20"/>
                    </w:rPr>
                  </w:pPr>
                  <w:r w:rsidRPr="009217D8">
                    <w:rPr>
                      <w:rFonts w:cstheme="minorHAnsi"/>
                      <w:color w:val="auto"/>
                      <w:sz w:val="20"/>
                      <w:szCs w:val="20"/>
                    </w:rPr>
                    <w:t>Customer &amp; Social Obligations Strategy Manager</w:t>
                  </w:r>
                </w:p>
              </w:tc>
              <w:tc>
                <w:tcPr>
                  <w:tcW w:w="2911" w:type="dxa"/>
                </w:tcPr>
                <w:p w14:paraId="1CCACB23" w14:textId="0F0F0613" w:rsidR="008713C8" w:rsidRPr="009217D8" w:rsidRDefault="00996060" w:rsidP="00F256A8">
                  <w:pPr>
                    <w:rPr>
                      <w:rFonts w:cstheme="minorHAnsi"/>
                      <w:color w:val="auto"/>
                      <w:sz w:val="20"/>
                      <w:szCs w:val="20"/>
                    </w:rPr>
                  </w:pPr>
                  <w:r w:rsidRPr="00996060">
                    <w:rPr>
                      <w:rFonts w:cstheme="minorHAnsi"/>
                      <w:noProof/>
                      <w:color w:val="auto"/>
                      <w:sz w:val="20"/>
                      <w:szCs w:val="20"/>
                    </w:rPr>
                    <w:drawing>
                      <wp:inline distT="0" distB="0" distL="0" distR="0" wp14:anchorId="4E68C684" wp14:editId="249497F6">
                        <wp:extent cx="1781424" cy="876422"/>
                        <wp:effectExtent l="0" t="0" r="9525" b="0"/>
                        <wp:docPr id="597894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94606" name=""/>
                                <pic:cNvPicPr/>
                              </pic:nvPicPr>
                              <pic:blipFill>
                                <a:blip r:embed="rId13"/>
                                <a:stretch>
                                  <a:fillRect/>
                                </a:stretch>
                              </pic:blipFill>
                              <pic:spPr>
                                <a:xfrm>
                                  <a:off x="0" y="0"/>
                                  <a:ext cx="1781424" cy="876422"/>
                                </a:xfrm>
                                <a:prstGeom prst="rect">
                                  <a:avLst/>
                                </a:prstGeom>
                              </pic:spPr>
                            </pic:pic>
                          </a:graphicData>
                        </a:graphic>
                      </wp:inline>
                    </w:drawing>
                  </w:r>
                </w:p>
              </w:tc>
              <w:tc>
                <w:tcPr>
                  <w:tcW w:w="1192" w:type="dxa"/>
                </w:tcPr>
                <w:p w14:paraId="2ADFB517" w14:textId="213FFD5C" w:rsidR="008713C8" w:rsidRPr="009217D8" w:rsidRDefault="00996060" w:rsidP="00F256A8">
                  <w:pPr>
                    <w:rPr>
                      <w:rFonts w:cstheme="minorHAnsi"/>
                      <w:color w:val="auto"/>
                      <w:sz w:val="20"/>
                      <w:szCs w:val="20"/>
                    </w:rPr>
                  </w:pPr>
                  <w:r>
                    <w:rPr>
                      <w:rFonts w:cstheme="minorHAnsi"/>
                      <w:color w:val="auto"/>
                      <w:sz w:val="20"/>
                      <w:szCs w:val="20"/>
                    </w:rPr>
                    <w:t>14/6/24</w:t>
                  </w:r>
                </w:p>
              </w:tc>
            </w:tr>
            <w:tr w:rsidR="009217D8" w:rsidRPr="009217D8" w14:paraId="28AE51B2" w14:textId="77777777" w:rsidTr="003D0BB9">
              <w:trPr>
                <w:trHeight w:val="562"/>
              </w:trPr>
              <w:tc>
                <w:tcPr>
                  <w:tcW w:w="913" w:type="dxa"/>
                </w:tcPr>
                <w:p w14:paraId="34245BA9" w14:textId="77777777" w:rsidR="008713C8" w:rsidRPr="009217D8" w:rsidRDefault="008713C8" w:rsidP="00F256A8">
                  <w:pPr>
                    <w:rPr>
                      <w:rFonts w:cstheme="minorHAnsi"/>
                      <w:color w:val="auto"/>
                      <w:sz w:val="20"/>
                      <w:szCs w:val="20"/>
                    </w:rPr>
                  </w:pPr>
                  <w:r w:rsidRPr="009217D8">
                    <w:rPr>
                      <w:rFonts w:cstheme="minorHAnsi"/>
                      <w:color w:val="auto"/>
                      <w:sz w:val="20"/>
                      <w:szCs w:val="20"/>
                    </w:rPr>
                    <w:t>Cadent</w:t>
                  </w:r>
                </w:p>
              </w:tc>
              <w:tc>
                <w:tcPr>
                  <w:tcW w:w="1380" w:type="dxa"/>
                </w:tcPr>
                <w:p w14:paraId="71DD4419" w14:textId="77777777" w:rsidR="008713C8" w:rsidRPr="009217D8" w:rsidRDefault="008713C8" w:rsidP="00F256A8">
                  <w:pPr>
                    <w:rPr>
                      <w:rFonts w:cstheme="minorHAnsi"/>
                      <w:color w:val="auto"/>
                      <w:sz w:val="20"/>
                      <w:szCs w:val="20"/>
                    </w:rPr>
                  </w:pPr>
                  <w:r w:rsidRPr="009217D8">
                    <w:rPr>
                      <w:rFonts w:cstheme="minorHAnsi"/>
                      <w:color w:val="auto"/>
                      <w:sz w:val="20"/>
                      <w:szCs w:val="20"/>
                    </w:rPr>
                    <w:t>Phil Burrows</w:t>
                  </w:r>
                </w:p>
              </w:tc>
              <w:tc>
                <w:tcPr>
                  <w:tcW w:w="3260" w:type="dxa"/>
                </w:tcPr>
                <w:p w14:paraId="508A6DE4" w14:textId="77777777" w:rsidR="008713C8" w:rsidRPr="009217D8" w:rsidRDefault="008713C8" w:rsidP="00F256A8">
                  <w:pPr>
                    <w:rPr>
                      <w:rFonts w:cstheme="minorHAnsi"/>
                      <w:color w:val="auto"/>
                      <w:sz w:val="20"/>
                      <w:szCs w:val="20"/>
                    </w:rPr>
                  </w:pPr>
                  <w:r w:rsidRPr="009217D8">
                    <w:rPr>
                      <w:rFonts w:cstheme="minorHAnsi"/>
                      <w:color w:val="auto"/>
                      <w:sz w:val="20"/>
                      <w:szCs w:val="20"/>
                    </w:rPr>
                    <w:t>Head of Customer Vulnerability Social Programme Delivery</w:t>
                  </w:r>
                </w:p>
                <w:p w14:paraId="69A69293" w14:textId="77777777" w:rsidR="008713C8" w:rsidRPr="009217D8" w:rsidRDefault="008713C8" w:rsidP="00F256A8">
                  <w:pPr>
                    <w:rPr>
                      <w:rFonts w:cstheme="minorHAnsi"/>
                      <w:color w:val="auto"/>
                      <w:sz w:val="20"/>
                      <w:szCs w:val="20"/>
                    </w:rPr>
                  </w:pPr>
                </w:p>
              </w:tc>
              <w:tc>
                <w:tcPr>
                  <w:tcW w:w="2911" w:type="dxa"/>
                </w:tcPr>
                <w:p w14:paraId="36520DEF" w14:textId="77777777" w:rsidR="008713C8" w:rsidRPr="009217D8" w:rsidRDefault="008713C8" w:rsidP="00F256A8">
                  <w:pPr>
                    <w:rPr>
                      <w:rFonts w:cstheme="minorHAnsi"/>
                      <w:color w:val="auto"/>
                      <w:sz w:val="20"/>
                      <w:szCs w:val="20"/>
                    </w:rPr>
                  </w:pPr>
                </w:p>
                <w:p w14:paraId="04ED5F52" w14:textId="3C707588" w:rsidR="008713C8" w:rsidRPr="009217D8" w:rsidRDefault="005F2D50" w:rsidP="00F256A8">
                  <w:pPr>
                    <w:rPr>
                      <w:rFonts w:cstheme="minorHAnsi"/>
                      <w:color w:val="auto"/>
                      <w:sz w:val="20"/>
                      <w:szCs w:val="20"/>
                    </w:rPr>
                  </w:pPr>
                  <w:r w:rsidRPr="005F2D50">
                    <w:rPr>
                      <w:rFonts w:ascii="Arial" w:eastAsia="Calibri" w:hAnsi="Arial" w:cs="Times New Roman"/>
                      <w:noProof/>
                      <w:color w:val="auto"/>
                      <w:sz w:val="20"/>
                      <w:szCs w:val="24"/>
                      <w:lang w:eastAsia="en-US"/>
                    </w:rPr>
                    <w:drawing>
                      <wp:inline distT="0" distB="0" distL="0" distR="0" wp14:anchorId="4159AC70" wp14:editId="283909D9">
                        <wp:extent cx="2500630" cy="560070"/>
                        <wp:effectExtent l="0" t="0" r="0" b="0"/>
                        <wp:docPr id="80149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49957" name="Picture 1"/>
                                <pic:cNvPicPr/>
                              </pic:nvPicPr>
                              <pic:blipFill>
                                <a:blip r:embed="rId14"/>
                                <a:stretch>
                                  <a:fillRect/>
                                </a:stretch>
                              </pic:blipFill>
                              <pic:spPr>
                                <a:xfrm>
                                  <a:off x="0" y="0"/>
                                  <a:ext cx="2500630" cy="560070"/>
                                </a:xfrm>
                                <a:prstGeom prst="rect">
                                  <a:avLst/>
                                </a:prstGeom>
                              </pic:spPr>
                            </pic:pic>
                          </a:graphicData>
                        </a:graphic>
                      </wp:inline>
                    </w:drawing>
                  </w:r>
                </w:p>
              </w:tc>
              <w:tc>
                <w:tcPr>
                  <w:tcW w:w="1192" w:type="dxa"/>
                </w:tcPr>
                <w:p w14:paraId="216E89EF" w14:textId="04695441" w:rsidR="008713C8" w:rsidRPr="009217D8" w:rsidRDefault="005F2D50" w:rsidP="005F2D50">
                  <w:pPr>
                    <w:jc w:val="center"/>
                    <w:rPr>
                      <w:rFonts w:cstheme="minorHAnsi"/>
                      <w:color w:val="auto"/>
                      <w:sz w:val="20"/>
                      <w:szCs w:val="20"/>
                    </w:rPr>
                  </w:pPr>
                  <w:r>
                    <w:rPr>
                      <w:rFonts w:cstheme="minorHAnsi"/>
                      <w:color w:val="auto"/>
                      <w:sz w:val="20"/>
                      <w:szCs w:val="20"/>
                    </w:rPr>
                    <w:t>26/07/24</w:t>
                  </w:r>
                </w:p>
              </w:tc>
            </w:tr>
          </w:tbl>
          <w:p w14:paraId="4280D229" w14:textId="77777777" w:rsidR="008713C8" w:rsidRPr="009217D8" w:rsidRDefault="008713C8" w:rsidP="00F256A8">
            <w:pPr>
              <w:rPr>
                <w:rFonts w:cstheme="minorHAnsi"/>
                <w:color w:val="auto"/>
                <w:sz w:val="20"/>
                <w:szCs w:val="20"/>
              </w:rPr>
            </w:pPr>
          </w:p>
        </w:tc>
      </w:tr>
      <w:tr w:rsidR="009217D8" w:rsidRPr="009217D8" w14:paraId="649A5AE3" w14:textId="77777777" w:rsidTr="003D0BB9">
        <w:trPr>
          <w:trHeight w:val="388"/>
        </w:trPr>
        <w:tc>
          <w:tcPr>
            <w:tcW w:w="9853" w:type="dxa"/>
            <w:vAlign w:val="center"/>
          </w:tcPr>
          <w:p w14:paraId="42B2E8D0" w14:textId="77777777" w:rsidR="008713C8" w:rsidRPr="009217D8" w:rsidRDefault="008713C8" w:rsidP="00F256A8">
            <w:pPr>
              <w:rPr>
                <w:rFonts w:cstheme="minorHAnsi"/>
                <w:color w:val="auto"/>
                <w:sz w:val="20"/>
                <w:szCs w:val="20"/>
              </w:rPr>
            </w:pPr>
            <w:r w:rsidRPr="009217D8">
              <w:rPr>
                <w:rFonts w:cstheme="minorHAnsi"/>
                <w:color w:val="auto"/>
                <w:sz w:val="20"/>
                <w:szCs w:val="20"/>
              </w:rPr>
              <w:t xml:space="preserve">Step 4: Upload PEA Document to the Website &amp; Notification Email Sent to Ofgem (vcma@ofgem.gov.uk) </w:t>
            </w:r>
          </w:p>
        </w:tc>
      </w:tr>
      <w:tr w:rsidR="009217D8" w:rsidRPr="009217D8" w14:paraId="4B369B1C" w14:textId="77777777" w:rsidTr="003D0BB9">
        <w:trPr>
          <w:trHeight w:val="396"/>
        </w:trPr>
        <w:tc>
          <w:tcPr>
            <w:tcW w:w="9853" w:type="dxa"/>
            <w:vAlign w:val="center"/>
          </w:tcPr>
          <w:p w14:paraId="0A7BD211" w14:textId="70D20038" w:rsidR="008713C8" w:rsidRPr="009217D8" w:rsidRDefault="008713C8" w:rsidP="00F256A8">
            <w:pPr>
              <w:rPr>
                <w:rFonts w:cstheme="minorHAnsi"/>
                <w:color w:val="auto"/>
                <w:sz w:val="20"/>
                <w:szCs w:val="20"/>
              </w:rPr>
            </w:pPr>
            <w:r w:rsidRPr="009217D8">
              <w:rPr>
                <w:rFonts w:cstheme="minorHAnsi"/>
                <w:color w:val="auto"/>
                <w:sz w:val="20"/>
                <w:szCs w:val="20"/>
              </w:rPr>
              <w:lastRenderedPageBreak/>
              <w:t>Date that PEA Document Uploaded to the Website:</w:t>
            </w:r>
          </w:p>
        </w:tc>
      </w:tr>
      <w:tr w:rsidR="009217D8" w:rsidRPr="009217D8" w14:paraId="32E2631C" w14:textId="77777777" w:rsidTr="003D0BB9">
        <w:trPr>
          <w:trHeight w:val="376"/>
        </w:trPr>
        <w:tc>
          <w:tcPr>
            <w:tcW w:w="9853" w:type="dxa"/>
            <w:vAlign w:val="center"/>
          </w:tcPr>
          <w:p w14:paraId="7BF64C84" w14:textId="68DC91CB" w:rsidR="008713C8" w:rsidRPr="009217D8" w:rsidRDefault="008713C8" w:rsidP="00F256A8">
            <w:pPr>
              <w:rPr>
                <w:rFonts w:cstheme="minorHAnsi"/>
                <w:color w:val="auto"/>
                <w:sz w:val="20"/>
                <w:szCs w:val="20"/>
              </w:rPr>
            </w:pPr>
            <w:r w:rsidRPr="009217D8">
              <w:rPr>
                <w:rFonts w:cstheme="minorHAnsi"/>
                <w:color w:val="auto"/>
                <w:sz w:val="20"/>
                <w:szCs w:val="20"/>
              </w:rPr>
              <w:t>Date that Notification Email Sent to Ofgem:</w:t>
            </w:r>
          </w:p>
        </w:tc>
      </w:tr>
    </w:tbl>
    <w:p w14:paraId="208D92E5" w14:textId="72490E11" w:rsidR="00A86EAB" w:rsidRPr="003115F2" w:rsidRDefault="00A86EAB" w:rsidP="00B471A1">
      <w:pPr>
        <w:rPr>
          <w:color w:val="auto"/>
        </w:rPr>
      </w:pPr>
    </w:p>
    <w:p w14:paraId="77AD88D3" w14:textId="57670129" w:rsidR="00A86EAB" w:rsidRPr="003115F2" w:rsidRDefault="00A86EAB" w:rsidP="00B471A1">
      <w:pPr>
        <w:rPr>
          <w:color w:val="auto"/>
        </w:rPr>
      </w:pPr>
    </w:p>
    <w:p w14:paraId="3CE51C3B" w14:textId="77777777" w:rsidR="00A86EAB" w:rsidRPr="003115F2" w:rsidRDefault="00A86EAB" w:rsidP="00B471A1">
      <w:pPr>
        <w:rPr>
          <w:color w:val="auto"/>
        </w:rPr>
      </w:pPr>
    </w:p>
    <w:sectPr w:rsidR="00A86EAB" w:rsidRPr="003115F2" w:rsidSect="007269B1">
      <w:headerReference w:type="even" r:id="rId15"/>
      <w:headerReference w:type="first" r:id="rId16"/>
      <w:pgSz w:w="11906" w:h="16838" w:code="9"/>
      <w:pgMar w:top="720" w:right="720" w:bottom="720" w:left="72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FCD32" w14:textId="77777777" w:rsidR="00454200" w:rsidRDefault="00454200" w:rsidP="006E2C5E">
      <w:pPr>
        <w:spacing w:line="240" w:lineRule="auto"/>
      </w:pPr>
      <w:r>
        <w:separator/>
      </w:r>
    </w:p>
  </w:endnote>
  <w:endnote w:type="continuationSeparator" w:id="0">
    <w:p w14:paraId="57CDBFDD" w14:textId="77777777" w:rsidR="00454200" w:rsidRDefault="00454200" w:rsidP="006E2C5E">
      <w:pPr>
        <w:spacing w:line="240" w:lineRule="auto"/>
      </w:pPr>
      <w:r>
        <w:continuationSeparator/>
      </w:r>
    </w:p>
  </w:endnote>
  <w:endnote w:type="continuationNotice" w:id="1">
    <w:p w14:paraId="2678BCE9" w14:textId="77777777" w:rsidR="00454200" w:rsidRDefault="004542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F6F32" w14:textId="77777777" w:rsidR="00454200" w:rsidRDefault="00454200" w:rsidP="006E2C5E">
      <w:pPr>
        <w:spacing w:line="240" w:lineRule="auto"/>
      </w:pPr>
      <w:r>
        <w:separator/>
      </w:r>
    </w:p>
  </w:footnote>
  <w:footnote w:type="continuationSeparator" w:id="0">
    <w:p w14:paraId="3AA5F5D1" w14:textId="77777777" w:rsidR="00454200" w:rsidRDefault="00454200" w:rsidP="006E2C5E">
      <w:pPr>
        <w:spacing w:line="240" w:lineRule="auto"/>
      </w:pPr>
      <w:r>
        <w:continuationSeparator/>
      </w:r>
    </w:p>
  </w:footnote>
  <w:footnote w:type="continuationNotice" w:id="1">
    <w:p w14:paraId="6336CA5C" w14:textId="77777777" w:rsidR="00454200" w:rsidRDefault="00454200">
      <w:pPr>
        <w:spacing w:line="240" w:lineRule="auto"/>
      </w:pPr>
    </w:p>
  </w:footnote>
  <w:footnote w:id="2">
    <w:p w14:paraId="7A5BCA88" w14:textId="4A5AE2FB" w:rsidR="00237DA6" w:rsidRPr="00237DA6" w:rsidRDefault="00237DA6">
      <w:pPr>
        <w:pStyle w:val="FootnoteText"/>
        <w:rPr>
          <w:color w:val="auto"/>
          <w:sz w:val="16"/>
          <w:szCs w:val="16"/>
        </w:rPr>
      </w:pPr>
      <w:r>
        <w:rPr>
          <w:rStyle w:val="FootnoteReference"/>
        </w:rPr>
        <w:footnoteRef/>
      </w:r>
      <w:r>
        <w:t xml:space="preserve"> </w:t>
      </w:r>
      <w:hyperlink r:id="rId1" w:history="1">
        <w:r w:rsidRPr="00237DA6">
          <w:rPr>
            <w:rStyle w:val="Hyperlink"/>
            <w:color w:val="auto"/>
            <w:sz w:val="16"/>
            <w:szCs w:val="16"/>
          </w:rPr>
          <w:t>CBP-8730.pdf (parliament.uk)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5F979" w14:textId="7CA55E94" w:rsidR="00047EE1" w:rsidRDefault="00047EE1">
    <w:pPr>
      <w:pStyle w:val="Header"/>
    </w:pPr>
    <w:r>
      <w:rPr>
        <w:noProof/>
      </w:rPr>
      <mc:AlternateContent>
        <mc:Choice Requires="wps">
          <w:drawing>
            <wp:anchor distT="0" distB="0" distL="0" distR="0" simplePos="0" relativeHeight="251658245" behindDoc="0" locked="0" layoutInCell="1" allowOverlap="1" wp14:anchorId="6F2A5DEE" wp14:editId="3BFE472C">
              <wp:simplePos x="635" y="635"/>
              <wp:positionH relativeFrom="page">
                <wp:align>left</wp:align>
              </wp:positionH>
              <wp:positionV relativeFrom="page">
                <wp:align>top</wp:align>
              </wp:positionV>
              <wp:extent cx="443865" cy="443865"/>
              <wp:effectExtent l="0" t="0" r="2540" b="12700"/>
              <wp:wrapNone/>
              <wp:docPr id="4" name="Text Box 4" descr="Classified as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AB2A49" w14:textId="0481F223" w:rsidR="00047EE1" w:rsidRPr="00047EE1" w:rsidRDefault="00047EE1" w:rsidP="00047EE1">
                          <w:pPr>
                            <w:rPr>
                              <w:rFonts w:ascii="Calibri" w:eastAsia="Calibri" w:hAnsi="Calibri" w:cs="Calibri"/>
                              <w:noProof/>
                              <w:color w:val="000000"/>
                              <w:sz w:val="20"/>
                              <w:szCs w:val="20"/>
                            </w:rPr>
                          </w:pPr>
                          <w:r w:rsidRPr="00047EE1">
                            <w:rPr>
                              <w:rFonts w:ascii="Calibri" w:eastAsia="Calibri" w:hAnsi="Calibri" w:cs="Calibri"/>
                              <w:noProof/>
                              <w:color w:val="000000"/>
                              <w:sz w:val="20"/>
                              <w:szCs w:val="20"/>
                            </w:rPr>
                            <w:t>Classified as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2A5DEE" id="_x0000_t202" coordsize="21600,21600" o:spt="202" path="m,l,21600r21600,l21600,xe">
              <v:stroke joinstyle="miter"/>
              <v:path gradientshapeok="t" o:connecttype="rect"/>
            </v:shapetype>
            <v:shape id="Text Box 4" o:spid="_x0000_s1026" type="#_x0000_t202" alt="Classified as Internal" style="position:absolute;margin-left:0;margin-top:0;width:34.95pt;height:34.95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FAB2A49" w14:textId="0481F223" w:rsidR="00047EE1" w:rsidRPr="00047EE1" w:rsidRDefault="00047EE1" w:rsidP="00047EE1">
                    <w:pPr>
                      <w:rPr>
                        <w:rFonts w:ascii="Calibri" w:eastAsia="Calibri" w:hAnsi="Calibri" w:cs="Calibri"/>
                        <w:noProof/>
                        <w:color w:val="000000"/>
                        <w:sz w:val="20"/>
                        <w:szCs w:val="20"/>
                      </w:rPr>
                    </w:pPr>
                    <w:r w:rsidRPr="00047EE1">
                      <w:rPr>
                        <w:rFonts w:ascii="Calibri" w:eastAsia="Calibri" w:hAnsi="Calibri" w:cs="Calibri"/>
                        <w:noProof/>
                        <w:color w:val="000000"/>
                        <w:sz w:val="20"/>
                        <w:szCs w:val="20"/>
                      </w:rPr>
                      <w:t>Classified as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DD9BB" w14:textId="7923CB3C" w:rsidR="008713C8" w:rsidRDefault="00BB79DD" w:rsidP="008713C8">
    <w:pPr>
      <w:pStyle w:val="Header"/>
      <w:tabs>
        <w:tab w:val="clear" w:pos="4513"/>
        <w:tab w:val="clear" w:pos="9026"/>
        <w:tab w:val="left" w:pos="3900"/>
      </w:tabs>
    </w:pPr>
    <w:r>
      <w:rPr>
        <w:noProof/>
      </w:rPr>
      <w:drawing>
        <wp:anchor distT="0" distB="0" distL="114300" distR="114300" simplePos="0" relativeHeight="251658240" behindDoc="1" locked="0" layoutInCell="1" allowOverlap="1" wp14:anchorId="383548D6" wp14:editId="6D38C22B">
          <wp:simplePos x="0" y="0"/>
          <wp:positionH relativeFrom="page">
            <wp:posOffset>560070</wp:posOffset>
          </wp:positionH>
          <wp:positionV relativeFrom="page">
            <wp:posOffset>489111</wp:posOffset>
          </wp:positionV>
          <wp:extent cx="1443355" cy="579120"/>
          <wp:effectExtent l="0" t="0" r="4445"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dent_logo_white_rgb.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3355" cy="579120"/>
                  </a:xfrm>
                  <a:prstGeom prst="rect">
                    <a:avLst/>
                  </a:prstGeom>
                </pic:spPr>
              </pic:pic>
            </a:graphicData>
          </a:graphic>
          <wp14:sizeRelH relativeFrom="margin">
            <wp14:pctWidth>0</wp14:pctWidth>
          </wp14:sizeRelH>
          <wp14:sizeRelV relativeFrom="margin">
            <wp14:pctHeight>0</wp14:pctHeight>
          </wp14:sizeRelV>
        </wp:anchor>
      </w:drawing>
    </w:r>
    <w:r w:rsidR="008713C8">
      <w:rPr>
        <w:noProof/>
      </w:rPr>
      <w:drawing>
        <wp:anchor distT="0" distB="0" distL="114300" distR="114300" simplePos="0" relativeHeight="251658241" behindDoc="1" locked="0" layoutInCell="1" allowOverlap="1" wp14:anchorId="04D3178B" wp14:editId="26A9DF75">
          <wp:simplePos x="0" y="0"/>
          <wp:positionH relativeFrom="column">
            <wp:posOffset>5153025</wp:posOffset>
          </wp:positionH>
          <wp:positionV relativeFrom="paragraph">
            <wp:posOffset>-41910</wp:posOffset>
          </wp:positionV>
          <wp:extent cx="1579245" cy="756285"/>
          <wp:effectExtent l="0" t="0" r="1905" b="5715"/>
          <wp:wrapNone/>
          <wp:docPr id="1" name="Picture 1" descr="A logo with orange circ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orange circle and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245" cy="756285"/>
                  </a:xfrm>
                  <a:prstGeom prst="rect">
                    <a:avLst/>
                  </a:prstGeom>
                  <a:noFill/>
                </pic:spPr>
              </pic:pic>
            </a:graphicData>
          </a:graphic>
          <wp14:sizeRelH relativeFrom="margin">
            <wp14:pctWidth>0</wp14:pctWidth>
          </wp14:sizeRelH>
          <wp14:sizeRelV relativeFrom="margin">
            <wp14:pctHeight>0</wp14:pctHeight>
          </wp14:sizeRelV>
        </wp:anchor>
      </w:drawing>
    </w:r>
    <w:r w:rsidR="008713C8">
      <w:rPr>
        <w:noProof/>
      </w:rPr>
      <w:drawing>
        <wp:anchor distT="0" distB="0" distL="114300" distR="114300" simplePos="0" relativeHeight="251658242" behindDoc="1" locked="0" layoutInCell="1" allowOverlap="1" wp14:anchorId="3AF9FDF1" wp14:editId="238FCCE9">
          <wp:simplePos x="0" y="0"/>
          <wp:positionH relativeFrom="column">
            <wp:posOffset>3408045</wp:posOffset>
          </wp:positionH>
          <wp:positionV relativeFrom="paragraph">
            <wp:posOffset>-1270</wp:posOffset>
          </wp:positionV>
          <wp:extent cx="1493520" cy="633730"/>
          <wp:effectExtent l="0" t="0" r="0" b="0"/>
          <wp:wrapNone/>
          <wp:docPr id="169" name="Picture 169" descr="A logo with orange dots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descr="A logo with orange dots and blue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3520" cy="633730"/>
                  </a:xfrm>
                  <a:prstGeom prst="rect">
                    <a:avLst/>
                  </a:prstGeom>
                  <a:noFill/>
                </pic:spPr>
              </pic:pic>
            </a:graphicData>
          </a:graphic>
        </wp:anchor>
      </w:drawing>
    </w:r>
    <w:r w:rsidR="008713C8">
      <w:rPr>
        <w:noProof/>
      </w:rPr>
      <w:drawing>
        <wp:anchor distT="0" distB="0" distL="114300" distR="114300" simplePos="0" relativeHeight="251658243" behindDoc="1" locked="0" layoutInCell="1" allowOverlap="1" wp14:anchorId="5EB4CFA0" wp14:editId="1C3B5C15">
          <wp:simplePos x="0" y="0"/>
          <wp:positionH relativeFrom="column">
            <wp:posOffset>1855470</wp:posOffset>
          </wp:positionH>
          <wp:positionV relativeFrom="paragraph">
            <wp:posOffset>-13335</wp:posOffset>
          </wp:positionV>
          <wp:extent cx="1188720" cy="597535"/>
          <wp:effectExtent l="0" t="0" r="0" b="0"/>
          <wp:wrapNone/>
          <wp:docPr id="168" name="Picture 168"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Picture 168" descr="A logo with blue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8720" cy="597535"/>
                  </a:xfrm>
                  <a:prstGeom prst="rect">
                    <a:avLst/>
                  </a:prstGeom>
                  <a:noFill/>
                </pic:spPr>
              </pic:pic>
            </a:graphicData>
          </a:graphic>
        </wp:anchor>
      </w:drawing>
    </w:r>
    <w:r w:rsidR="008713C8">
      <w:rPr>
        <w:noProof/>
      </w:rPr>
      <w:t xml:space="preserve">                     </w:t>
    </w:r>
    <w:r w:rsidR="008713C8">
      <w:rPr>
        <w:noProof/>
      </w:rPr>
      <w:tab/>
    </w:r>
  </w:p>
  <w:p w14:paraId="317D6379" w14:textId="16E94EDB" w:rsidR="008713C8" w:rsidRDefault="008713C8">
    <w:pPr>
      <w:pStyle w:val="Header"/>
    </w:pPr>
  </w:p>
</w:hdr>
</file>

<file path=word/intelligence2.xml><?xml version="1.0" encoding="utf-8"?>
<int2:intelligence xmlns:int2="http://schemas.microsoft.com/office/intelligence/2020/intelligence" xmlns:oel="http://schemas.microsoft.com/office/2019/extlst">
  <int2:observations>
    <int2:textHash int2:hashCode="oUOOxvdlPSq5Nv" int2:id="KR4N4cXt">
      <int2:state int2:value="Rejected" int2:type="AugLoop_Text_Critique"/>
    </int2:textHash>
    <int2:bookmark int2:bookmarkName="_Int_2pMQtBqT" int2:invalidationBookmarkName="" int2:hashCode="VRd/LyDcPFdCnc" int2:id="rY7FDxX3">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4B6"/>
    <w:multiLevelType w:val="hybridMultilevel"/>
    <w:tmpl w:val="BE1A9D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0410E"/>
    <w:multiLevelType w:val="hybridMultilevel"/>
    <w:tmpl w:val="F184EB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3D17CE"/>
    <w:multiLevelType w:val="hybridMultilevel"/>
    <w:tmpl w:val="DF683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B03B4C"/>
    <w:multiLevelType w:val="hybridMultilevel"/>
    <w:tmpl w:val="FCB69D0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51123"/>
    <w:multiLevelType w:val="hybridMultilevel"/>
    <w:tmpl w:val="46801BC2"/>
    <w:lvl w:ilvl="0" w:tplc="51326BCC">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06401"/>
    <w:multiLevelType w:val="hybridMultilevel"/>
    <w:tmpl w:val="A758843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7A845C7"/>
    <w:multiLevelType w:val="hybridMultilevel"/>
    <w:tmpl w:val="585889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646D1"/>
    <w:multiLevelType w:val="hybridMultilevel"/>
    <w:tmpl w:val="26A4BC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CD585E"/>
    <w:multiLevelType w:val="hybridMultilevel"/>
    <w:tmpl w:val="B47C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82E1D"/>
    <w:multiLevelType w:val="hybridMultilevel"/>
    <w:tmpl w:val="EBE44EF8"/>
    <w:lvl w:ilvl="0" w:tplc="11868F98">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EC2378"/>
    <w:multiLevelType w:val="hybridMultilevel"/>
    <w:tmpl w:val="E1340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A71044"/>
    <w:multiLevelType w:val="hybridMultilevel"/>
    <w:tmpl w:val="931ABE7C"/>
    <w:lvl w:ilvl="0" w:tplc="2CCA87FE">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653E8E"/>
    <w:multiLevelType w:val="hybridMultilevel"/>
    <w:tmpl w:val="5E460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C0B41"/>
    <w:multiLevelType w:val="hybridMultilevel"/>
    <w:tmpl w:val="D304CB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85268"/>
    <w:multiLevelType w:val="hybridMultilevel"/>
    <w:tmpl w:val="63D8B6D0"/>
    <w:lvl w:ilvl="0" w:tplc="FFFFFFFF">
      <w:start w:val="1"/>
      <w:numFmt w:val="lowerRoman"/>
      <w:lvlText w:val="%1."/>
      <w:lvlJc w:val="right"/>
      <w:pPr>
        <w:ind w:left="1440" w:hanging="360"/>
      </w:pPr>
      <w:rPr>
        <w:b/>
        <w:bCs/>
      </w:rPr>
    </w:lvl>
    <w:lvl w:ilvl="1" w:tplc="D04A5320">
      <w:start w:val="3"/>
      <w:numFmt w:val="bullet"/>
      <w:lvlText w:val="•"/>
      <w:lvlJc w:val="left"/>
      <w:pPr>
        <w:ind w:left="2160" w:hanging="360"/>
      </w:pPr>
      <w:rPr>
        <w:rFonts w:ascii="Arial" w:eastAsiaTheme="minorEastAsia" w:hAnsi="Arial" w:cs="Aria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1970170"/>
    <w:multiLevelType w:val="hybridMultilevel"/>
    <w:tmpl w:val="0E2E3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AA6715"/>
    <w:multiLevelType w:val="hybridMultilevel"/>
    <w:tmpl w:val="C2967D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ED4FCE"/>
    <w:multiLevelType w:val="multilevel"/>
    <w:tmpl w:val="A94A04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5A30FB"/>
    <w:multiLevelType w:val="hybridMultilevel"/>
    <w:tmpl w:val="77C2E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94498"/>
    <w:multiLevelType w:val="hybridMultilevel"/>
    <w:tmpl w:val="C7B4FDF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87008E"/>
    <w:multiLevelType w:val="hybridMultilevel"/>
    <w:tmpl w:val="1040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467FB"/>
    <w:multiLevelType w:val="hybridMultilevel"/>
    <w:tmpl w:val="BBD42C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120972"/>
    <w:multiLevelType w:val="hybridMultilevel"/>
    <w:tmpl w:val="127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13587A"/>
    <w:multiLevelType w:val="hybridMultilevel"/>
    <w:tmpl w:val="6EDE9F96"/>
    <w:lvl w:ilvl="0" w:tplc="4E5EE63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BA71D8"/>
    <w:multiLevelType w:val="hybridMultilevel"/>
    <w:tmpl w:val="9A508F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5CA306E"/>
    <w:multiLevelType w:val="hybridMultilevel"/>
    <w:tmpl w:val="5E02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537F4"/>
    <w:multiLevelType w:val="hybridMultilevel"/>
    <w:tmpl w:val="366C3D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531283"/>
    <w:multiLevelType w:val="hybridMultilevel"/>
    <w:tmpl w:val="DF02E41A"/>
    <w:name w:val="Headings"/>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6ED06A7E"/>
    <w:multiLevelType w:val="hybridMultilevel"/>
    <w:tmpl w:val="4A480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A685E"/>
    <w:multiLevelType w:val="hybridMultilevel"/>
    <w:tmpl w:val="50BE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6B2F64"/>
    <w:multiLevelType w:val="hybridMultilevel"/>
    <w:tmpl w:val="AE847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121026"/>
    <w:multiLevelType w:val="hybridMultilevel"/>
    <w:tmpl w:val="24869E0E"/>
    <w:lvl w:ilvl="0" w:tplc="774639EA">
      <w:start w:val="1"/>
      <w:numFmt w:val="bullet"/>
      <w:pStyle w:val="BulletedText"/>
      <w:lvlText w:val="&lt;"/>
      <w:lvlJc w:val="left"/>
      <w:pPr>
        <w:ind w:left="720" w:hanging="360"/>
      </w:pPr>
      <w:rPr>
        <w:rFonts w:ascii="Webdings" w:hAnsi="Webdings" w:hint="default"/>
        <w:color w:val="FA461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BE5A75"/>
    <w:multiLevelType w:val="hybridMultilevel"/>
    <w:tmpl w:val="7458F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310C0F"/>
    <w:multiLevelType w:val="hybridMultilevel"/>
    <w:tmpl w:val="B7AA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FE6ED7"/>
    <w:multiLevelType w:val="hybridMultilevel"/>
    <w:tmpl w:val="1C0E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097417"/>
    <w:multiLevelType w:val="hybridMultilevel"/>
    <w:tmpl w:val="C99CF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0D2219"/>
    <w:multiLevelType w:val="multilevel"/>
    <w:tmpl w:val="7CD8D83A"/>
    <w:lvl w:ilvl="0">
      <w:start w:val="1"/>
      <w:numFmt w:val="decimal"/>
      <w:pStyle w:val="OrangeSub-header"/>
      <w:lvlText w:val="%1."/>
      <w:lvlJc w:val="left"/>
      <w:pPr>
        <w:ind w:left="360" w:hanging="360"/>
      </w:pPr>
      <w:rPr>
        <w:rFonts w:hint="default"/>
      </w:rPr>
    </w:lvl>
    <w:lvl w:ilvl="1">
      <w:start w:val="1"/>
      <w:numFmt w:val="decimal"/>
      <w:pStyle w:val="OrangeSubheader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22778652">
    <w:abstractNumId w:val="17"/>
  </w:num>
  <w:num w:numId="2" w16cid:durableId="16262305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9037297">
    <w:abstractNumId w:val="36"/>
  </w:num>
  <w:num w:numId="4" w16cid:durableId="684135411">
    <w:abstractNumId w:val="31"/>
  </w:num>
  <w:num w:numId="5" w16cid:durableId="652488757">
    <w:abstractNumId w:val="33"/>
  </w:num>
  <w:num w:numId="6" w16cid:durableId="130445794">
    <w:abstractNumId w:val="12"/>
  </w:num>
  <w:num w:numId="7" w16cid:durableId="651179719">
    <w:abstractNumId w:val="35"/>
  </w:num>
  <w:num w:numId="8" w16cid:durableId="1213955076">
    <w:abstractNumId w:val="7"/>
  </w:num>
  <w:num w:numId="9" w16cid:durableId="1210848079">
    <w:abstractNumId w:val="1"/>
  </w:num>
  <w:num w:numId="10" w16cid:durableId="511259743">
    <w:abstractNumId w:val="0"/>
  </w:num>
  <w:num w:numId="11" w16cid:durableId="30887729">
    <w:abstractNumId w:val="15"/>
  </w:num>
  <w:num w:numId="12" w16cid:durableId="208418686">
    <w:abstractNumId w:val="5"/>
  </w:num>
  <w:num w:numId="13" w16cid:durableId="93403584">
    <w:abstractNumId w:val="16"/>
  </w:num>
  <w:num w:numId="14" w16cid:durableId="701903713">
    <w:abstractNumId w:val="24"/>
  </w:num>
  <w:num w:numId="15" w16cid:durableId="6292916">
    <w:abstractNumId w:val="11"/>
  </w:num>
  <w:num w:numId="16" w16cid:durableId="1426531547">
    <w:abstractNumId w:val="13"/>
  </w:num>
  <w:num w:numId="17" w16cid:durableId="1306088084">
    <w:abstractNumId w:val="26"/>
  </w:num>
  <w:num w:numId="18" w16cid:durableId="1303344645">
    <w:abstractNumId w:val="27"/>
  </w:num>
  <w:num w:numId="19" w16cid:durableId="1901213225">
    <w:abstractNumId w:val="28"/>
  </w:num>
  <w:num w:numId="20" w16cid:durableId="1962955625">
    <w:abstractNumId w:val="29"/>
  </w:num>
  <w:num w:numId="21" w16cid:durableId="198007888">
    <w:abstractNumId w:val="20"/>
  </w:num>
  <w:num w:numId="22" w16cid:durableId="1019506831">
    <w:abstractNumId w:val="19"/>
  </w:num>
  <w:num w:numId="23" w16cid:durableId="2010979045">
    <w:abstractNumId w:val="21"/>
  </w:num>
  <w:num w:numId="24" w16cid:durableId="318583834">
    <w:abstractNumId w:val="2"/>
  </w:num>
  <w:num w:numId="25" w16cid:durableId="1106728787">
    <w:abstractNumId w:val="3"/>
  </w:num>
  <w:num w:numId="26" w16cid:durableId="1533958840">
    <w:abstractNumId w:val="8"/>
  </w:num>
  <w:num w:numId="27" w16cid:durableId="514271030">
    <w:abstractNumId w:val="30"/>
  </w:num>
  <w:num w:numId="28" w16cid:durableId="482240916">
    <w:abstractNumId w:val="23"/>
  </w:num>
  <w:num w:numId="29" w16cid:durableId="557785849">
    <w:abstractNumId w:val="32"/>
  </w:num>
  <w:num w:numId="30" w16cid:durableId="1634562271">
    <w:abstractNumId w:val="22"/>
  </w:num>
  <w:num w:numId="31" w16cid:durableId="1989357393">
    <w:abstractNumId w:val="25"/>
  </w:num>
  <w:num w:numId="32" w16cid:durableId="267928036">
    <w:abstractNumId w:val="34"/>
  </w:num>
  <w:num w:numId="33" w16cid:durableId="740643281">
    <w:abstractNumId w:val="6"/>
  </w:num>
  <w:num w:numId="34" w16cid:durableId="297761201">
    <w:abstractNumId w:val="18"/>
  </w:num>
  <w:num w:numId="35" w16cid:durableId="76100705">
    <w:abstractNumId w:val="10"/>
  </w:num>
  <w:num w:numId="36" w16cid:durableId="1407537614">
    <w:abstractNumId w:val="4"/>
  </w:num>
  <w:num w:numId="37" w16cid:durableId="19011024">
    <w:abstractNumId w:val="14"/>
  </w:num>
  <w:num w:numId="38" w16cid:durableId="1392922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D0"/>
    <w:rsid w:val="0000408F"/>
    <w:rsid w:val="00010360"/>
    <w:rsid w:val="00011CD5"/>
    <w:rsid w:val="0001364B"/>
    <w:rsid w:val="00013F40"/>
    <w:rsid w:val="00014DB6"/>
    <w:rsid w:val="000203DB"/>
    <w:rsid w:val="0002072C"/>
    <w:rsid w:val="000238C8"/>
    <w:rsid w:val="00027FBF"/>
    <w:rsid w:val="00030AAC"/>
    <w:rsid w:val="0003150F"/>
    <w:rsid w:val="00036A0E"/>
    <w:rsid w:val="00037612"/>
    <w:rsid w:val="00041CA1"/>
    <w:rsid w:val="00045FCF"/>
    <w:rsid w:val="00046A45"/>
    <w:rsid w:val="00047308"/>
    <w:rsid w:val="00047EE1"/>
    <w:rsid w:val="0005138C"/>
    <w:rsid w:val="000554FF"/>
    <w:rsid w:val="00055F22"/>
    <w:rsid w:val="0005724A"/>
    <w:rsid w:val="00061C9F"/>
    <w:rsid w:val="000627AA"/>
    <w:rsid w:val="00063C2D"/>
    <w:rsid w:val="00064826"/>
    <w:rsid w:val="00072093"/>
    <w:rsid w:val="0007601E"/>
    <w:rsid w:val="00086901"/>
    <w:rsid w:val="00092EAF"/>
    <w:rsid w:val="000A00D7"/>
    <w:rsid w:val="000A4331"/>
    <w:rsid w:val="000A4C85"/>
    <w:rsid w:val="000B45B7"/>
    <w:rsid w:val="000B5DD7"/>
    <w:rsid w:val="000B60E8"/>
    <w:rsid w:val="000D01D8"/>
    <w:rsid w:val="000D2ECB"/>
    <w:rsid w:val="000D5C79"/>
    <w:rsid w:val="000D6A5F"/>
    <w:rsid w:val="000E2B38"/>
    <w:rsid w:val="000E351C"/>
    <w:rsid w:val="000F273C"/>
    <w:rsid w:val="00103601"/>
    <w:rsid w:val="00104872"/>
    <w:rsid w:val="001053E5"/>
    <w:rsid w:val="00105EEC"/>
    <w:rsid w:val="0011274A"/>
    <w:rsid w:val="0011494B"/>
    <w:rsid w:val="00115451"/>
    <w:rsid w:val="00120DB6"/>
    <w:rsid w:val="001239C1"/>
    <w:rsid w:val="001250C7"/>
    <w:rsid w:val="001537D3"/>
    <w:rsid w:val="001554AE"/>
    <w:rsid w:val="001564DD"/>
    <w:rsid w:val="00161D9B"/>
    <w:rsid w:val="001639E4"/>
    <w:rsid w:val="00163AF5"/>
    <w:rsid w:val="001643DD"/>
    <w:rsid w:val="0016710B"/>
    <w:rsid w:val="00172EF8"/>
    <w:rsid w:val="00174FE5"/>
    <w:rsid w:val="00176D49"/>
    <w:rsid w:val="00180730"/>
    <w:rsid w:val="001819FF"/>
    <w:rsid w:val="00181D89"/>
    <w:rsid w:val="00182BE2"/>
    <w:rsid w:val="001855C7"/>
    <w:rsid w:val="00187038"/>
    <w:rsid w:val="00190D20"/>
    <w:rsid w:val="001A6ACF"/>
    <w:rsid w:val="001A7567"/>
    <w:rsid w:val="001A7595"/>
    <w:rsid w:val="001B2A77"/>
    <w:rsid w:val="001B6541"/>
    <w:rsid w:val="001B7704"/>
    <w:rsid w:val="001C12F2"/>
    <w:rsid w:val="001C21B5"/>
    <w:rsid w:val="001C71A2"/>
    <w:rsid w:val="001D0113"/>
    <w:rsid w:val="001D2004"/>
    <w:rsid w:val="001D2E80"/>
    <w:rsid w:val="001E3052"/>
    <w:rsid w:val="001E7840"/>
    <w:rsid w:val="001F1209"/>
    <w:rsid w:val="001F210D"/>
    <w:rsid w:val="001F3579"/>
    <w:rsid w:val="001F7D18"/>
    <w:rsid w:val="002009D9"/>
    <w:rsid w:val="00204052"/>
    <w:rsid w:val="00210CD7"/>
    <w:rsid w:val="00210F22"/>
    <w:rsid w:val="00213A81"/>
    <w:rsid w:val="00215F0D"/>
    <w:rsid w:val="00216FEC"/>
    <w:rsid w:val="00221D0F"/>
    <w:rsid w:val="0022293A"/>
    <w:rsid w:val="0022576A"/>
    <w:rsid w:val="0022678B"/>
    <w:rsid w:val="00231010"/>
    <w:rsid w:val="002324F4"/>
    <w:rsid w:val="00237DA6"/>
    <w:rsid w:val="0024419A"/>
    <w:rsid w:val="0025051B"/>
    <w:rsid w:val="002522AA"/>
    <w:rsid w:val="0025444B"/>
    <w:rsid w:val="002559E8"/>
    <w:rsid w:val="0025674B"/>
    <w:rsid w:val="00260BD0"/>
    <w:rsid w:val="00263759"/>
    <w:rsid w:val="00264413"/>
    <w:rsid w:val="00264D41"/>
    <w:rsid w:val="002653C5"/>
    <w:rsid w:val="002668F9"/>
    <w:rsid w:val="0027253A"/>
    <w:rsid w:val="00273654"/>
    <w:rsid w:val="00273FB5"/>
    <w:rsid w:val="00282E7D"/>
    <w:rsid w:val="00293818"/>
    <w:rsid w:val="00296FC7"/>
    <w:rsid w:val="002A0984"/>
    <w:rsid w:val="002A6C12"/>
    <w:rsid w:val="002B28B8"/>
    <w:rsid w:val="002C36BD"/>
    <w:rsid w:val="002C3AB4"/>
    <w:rsid w:val="002C43F4"/>
    <w:rsid w:val="002C58E2"/>
    <w:rsid w:val="002C735F"/>
    <w:rsid w:val="002E0959"/>
    <w:rsid w:val="002E683C"/>
    <w:rsid w:val="002E6C94"/>
    <w:rsid w:val="002E7869"/>
    <w:rsid w:val="002F085D"/>
    <w:rsid w:val="002F5DD4"/>
    <w:rsid w:val="002F76D0"/>
    <w:rsid w:val="0030155E"/>
    <w:rsid w:val="00305B4F"/>
    <w:rsid w:val="003062A3"/>
    <w:rsid w:val="003115F2"/>
    <w:rsid w:val="00313AEC"/>
    <w:rsid w:val="00313BCC"/>
    <w:rsid w:val="00317246"/>
    <w:rsid w:val="0032378C"/>
    <w:rsid w:val="00332D27"/>
    <w:rsid w:val="00334616"/>
    <w:rsid w:val="00334FEB"/>
    <w:rsid w:val="003418D4"/>
    <w:rsid w:val="0035282A"/>
    <w:rsid w:val="00357050"/>
    <w:rsid w:val="00365F9A"/>
    <w:rsid w:val="00375865"/>
    <w:rsid w:val="0037646A"/>
    <w:rsid w:val="00385C9C"/>
    <w:rsid w:val="003875D8"/>
    <w:rsid w:val="00390FE2"/>
    <w:rsid w:val="003B0AFA"/>
    <w:rsid w:val="003B79C5"/>
    <w:rsid w:val="003C0B6D"/>
    <w:rsid w:val="003C2DA3"/>
    <w:rsid w:val="003C728F"/>
    <w:rsid w:val="003C7421"/>
    <w:rsid w:val="003D0BB9"/>
    <w:rsid w:val="003D70C5"/>
    <w:rsid w:val="003E0137"/>
    <w:rsid w:val="003F23CA"/>
    <w:rsid w:val="00401422"/>
    <w:rsid w:val="004118E9"/>
    <w:rsid w:val="004172B7"/>
    <w:rsid w:val="004232A5"/>
    <w:rsid w:val="00430D1C"/>
    <w:rsid w:val="00431AEF"/>
    <w:rsid w:val="0044254E"/>
    <w:rsid w:val="0044381D"/>
    <w:rsid w:val="004464EB"/>
    <w:rsid w:val="00454200"/>
    <w:rsid w:val="004552B7"/>
    <w:rsid w:val="00457C96"/>
    <w:rsid w:val="004649C7"/>
    <w:rsid w:val="00466DA6"/>
    <w:rsid w:val="004709BA"/>
    <w:rsid w:val="00477240"/>
    <w:rsid w:val="00492C99"/>
    <w:rsid w:val="00492D3E"/>
    <w:rsid w:val="00495004"/>
    <w:rsid w:val="00497100"/>
    <w:rsid w:val="004A3CA1"/>
    <w:rsid w:val="004B10C4"/>
    <w:rsid w:val="004D13D7"/>
    <w:rsid w:val="004E029A"/>
    <w:rsid w:val="004E18DA"/>
    <w:rsid w:val="004E201F"/>
    <w:rsid w:val="004E2AF1"/>
    <w:rsid w:val="004E4416"/>
    <w:rsid w:val="004E60A2"/>
    <w:rsid w:val="004E6B4B"/>
    <w:rsid w:val="004F2DA2"/>
    <w:rsid w:val="004F6135"/>
    <w:rsid w:val="00507CF2"/>
    <w:rsid w:val="00516CFA"/>
    <w:rsid w:val="00517C76"/>
    <w:rsid w:val="0052019D"/>
    <w:rsid w:val="00521A78"/>
    <w:rsid w:val="005239AA"/>
    <w:rsid w:val="00526EB8"/>
    <w:rsid w:val="00527F7C"/>
    <w:rsid w:val="005316F1"/>
    <w:rsid w:val="0053378E"/>
    <w:rsid w:val="00536931"/>
    <w:rsid w:val="005369A1"/>
    <w:rsid w:val="00542874"/>
    <w:rsid w:val="00544347"/>
    <w:rsid w:val="005560A3"/>
    <w:rsid w:val="0056438D"/>
    <w:rsid w:val="005665BC"/>
    <w:rsid w:val="00583F29"/>
    <w:rsid w:val="005863EB"/>
    <w:rsid w:val="005865E7"/>
    <w:rsid w:val="00586D14"/>
    <w:rsid w:val="0058723C"/>
    <w:rsid w:val="00590A10"/>
    <w:rsid w:val="00590ADD"/>
    <w:rsid w:val="005923D6"/>
    <w:rsid w:val="00597869"/>
    <w:rsid w:val="005A08A2"/>
    <w:rsid w:val="005A5168"/>
    <w:rsid w:val="005A5D68"/>
    <w:rsid w:val="005A732B"/>
    <w:rsid w:val="005B240D"/>
    <w:rsid w:val="005C5F63"/>
    <w:rsid w:val="005D23A1"/>
    <w:rsid w:val="005D4A55"/>
    <w:rsid w:val="005E428B"/>
    <w:rsid w:val="005F0A48"/>
    <w:rsid w:val="005F2D50"/>
    <w:rsid w:val="005F2F13"/>
    <w:rsid w:val="005F3753"/>
    <w:rsid w:val="005F4462"/>
    <w:rsid w:val="005F589B"/>
    <w:rsid w:val="006019AA"/>
    <w:rsid w:val="006030C6"/>
    <w:rsid w:val="006032AB"/>
    <w:rsid w:val="00606AC6"/>
    <w:rsid w:val="00612647"/>
    <w:rsid w:val="00615E7F"/>
    <w:rsid w:val="00624C21"/>
    <w:rsid w:val="00626F97"/>
    <w:rsid w:val="00630BFD"/>
    <w:rsid w:val="00632E78"/>
    <w:rsid w:val="00643561"/>
    <w:rsid w:val="006445B7"/>
    <w:rsid w:val="00647CD1"/>
    <w:rsid w:val="00647E97"/>
    <w:rsid w:val="00650598"/>
    <w:rsid w:val="00650DEB"/>
    <w:rsid w:val="006540E1"/>
    <w:rsid w:val="006543AA"/>
    <w:rsid w:val="00654F9C"/>
    <w:rsid w:val="0065655F"/>
    <w:rsid w:val="006669AB"/>
    <w:rsid w:val="00667DD6"/>
    <w:rsid w:val="00667E87"/>
    <w:rsid w:val="0067227F"/>
    <w:rsid w:val="00675604"/>
    <w:rsid w:val="006765AE"/>
    <w:rsid w:val="006776BA"/>
    <w:rsid w:val="006A0461"/>
    <w:rsid w:val="006AC909"/>
    <w:rsid w:val="006B3621"/>
    <w:rsid w:val="006B3877"/>
    <w:rsid w:val="006C2BEF"/>
    <w:rsid w:val="006C3846"/>
    <w:rsid w:val="006C54EE"/>
    <w:rsid w:val="006C7E92"/>
    <w:rsid w:val="006D7A17"/>
    <w:rsid w:val="006E2C5E"/>
    <w:rsid w:val="006E2EA2"/>
    <w:rsid w:val="006E3F94"/>
    <w:rsid w:val="006E5EA3"/>
    <w:rsid w:val="006F4321"/>
    <w:rsid w:val="006F4C71"/>
    <w:rsid w:val="006F6F28"/>
    <w:rsid w:val="00705F8A"/>
    <w:rsid w:val="00706385"/>
    <w:rsid w:val="00706B86"/>
    <w:rsid w:val="0071083D"/>
    <w:rsid w:val="0072026D"/>
    <w:rsid w:val="007269B1"/>
    <w:rsid w:val="007324DA"/>
    <w:rsid w:val="007326B5"/>
    <w:rsid w:val="00734EAC"/>
    <w:rsid w:val="00737808"/>
    <w:rsid w:val="00740936"/>
    <w:rsid w:val="00745AB2"/>
    <w:rsid w:val="00747F4B"/>
    <w:rsid w:val="00756C11"/>
    <w:rsid w:val="00764EBE"/>
    <w:rsid w:val="0079031C"/>
    <w:rsid w:val="007905A6"/>
    <w:rsid w:val="00792EFE"/>
    <w:rsid w:val="0079337D"/>
    <w:rsid w:val="007934C6"/>
    <w:rsid w:val="007957AD"/>
    <w:rsid w:val="007A0E1E"/>
    <w:rsid w:val="007A50CD"/>
    <w:rsid w:val="007A7ACC"/>
    <w:rsid w:val="007B3AF3"/>
    <w:rsid w:val="007B4EB1"/>
    <w:rsid w:val="007C2CDD"/>
    <w:rsid w:val="007C382F"/>
    <w:rsid w:val="007C4664"/>
    <w:rsid w:val="007C603E"/>
    <w:rsid w:val="007D003C"/>
    <w:rsid w:val="007D7202"/>
    <w:rsid w:val="007D79D2"/>
    <w:rsid w:val="007F2DB2"/>
    <w:rsid w:val="007F5967"/>
    <w:rsid w:val="008168FE"/>
    <w:rsid w:val="008209AE"/>
    <w:rsid w:val="008217DC"/>
    <w:rsid w:val="00822405"/>
    <w:rsid w:val="008273A2"/>
    <w:rsid w:val="00831153"/>
    <w:rsid w:val="008404E4"/>
    <w:rsid w:val="00841580"/>
    <w:rsid w:val="00843E6E"/>
    <w:rsid w:val="00844D41"/>
    <w:rsid w:val="0085359F"/>
    <w:rsid w:val="00855E28"/>
    <w:rsid w:val="00870F8C"/>
    <w:rsid w:val="008713C8"/>
    <w:rsid w:val="008769D1"/>
    <w:rsid w:val="008811C7"/>
    <w:rsid w:val="00883BE6"/>
    <w:rsid w:val="00887085"/>
    <w:rsid w:val="00894B4C"/>
    <w:rsid w:val="008A1D56"/>
    <w:rsid w:val="008A417D"/>
    <w:rsid w:val="008A636B"/>
    <w:rsid w:val="008B2F08"/>
    <w:rsid w:val="008B45EF"/>
    <w:rsid w:val="008B6ACA"/>
    <w:rsid w:val="008C06BE"/>
    <w:rsid w:val="008C550F"/>
    <w:rsid w:val="008C6993"/>
    <w:rsid w:val="008C7848"/>
    <w:rsid w:val="008D14AE"/>
    <w:rsid w:val="008E7687"/>
    <w:rsid w:val="008F144D"/>
    <w:rsid w:val="008F4307"/>
    <w:rsid w:val="008F71CF"/>
    <w:rsid w:val="009041E8"/>
    <w:rsid w:val="00910BAB"/>
    <w:rsid w:val="00911AB6"/>
    <w:rsid w:val="00920F4F"/>
    <w:rsid w:val="009217D8"/>
    <w:rsid w:val="00923639"/>
    <w:rsid w:val="00924D01"/>
    <w:rsid w:val="00930542"/>
    <w:rsid w:val="0093146E"/>
    <w:rsid w:val="00933D46"/>
    <w:rsid w:val="00936C6B"/>
    <w:rsid w:val="009416EF"/>
    <w:rsid w:val="0095141F"/>
    <w:rsid w:val="009554EF"/>
    <w:rsid w:val="0096244B"/>
    <w:rsid w:val="00965E7C"/>
    <w:rsid w:val="009675AB"/>
    <w:rsid w:val="00972673"/>
    <w:rsid w:val="00981C62"/>
    <w:rsid w:val="00996060"/>
    <w:rsid w:val="009A145D"/>
    <w:rsid w:val="009A1AEA"/>
    <w:rsid w:val="009A5739"/>
    <w:rsid w:val="009A60C3"/>
    <w:rsid w:val="009A7302"/>
    <w:rsid w:val="009B1016"/>
    <w:rsid w:val="009B4FE5"/>
    <w:rsid w:val="009C58CC"/>
    <w:rsid w:val="009D0446"/>
    <w:rsid w:val="009D13E9"/>
    <w:rsid w:val="009D506D"/>
    <w:rsid w:val="009D773F"/>
    <w:rsid w:val="009F1566"/>
    <w:rsid w:val="009F339B"/>
    <w:rsid w:val="009F384D"/>
    <w:rsid w:val="009F3A7C"/>
    <w:rsid w:val="00A0258A"/>
    <w:rsid w:val="00A05AA6"/>
    <w:rsid w:val="00A145AD"/>
    <w:rsid w:val="00A2122B"/>
    <w:rsid w:val="00A2765C"/>
    <w:rsid w:val="00A340B9"/>
    <w:rsid w:val="00A3755A"/>
    <w:rsid w:val="00A423BE"/>
    <w:rsid w:val="00A43BB5"/>
    <w:rsid w:val="00A470BD"/>
    <w:rsid w:val="00A51B04"/>
    <w:rsid w:val="00A53C17"/>
    <w:rsid w:val="00A55EB0"/>
    <w:rsid w:val="00A61960"/>
    <w:rsid w:val="00A6227A"/>
    <w:rsid w:val="00A648CB"/>
    <w:rsid w:val="00A66AE0"/>
    <w:rsid w:val="00A738BF"/>
    <w:rsid w:val="00A75540"/>
    <w:rsid w:val="00A767B9"/>
    <w:rsid w:val="00A85043"/>
    <w:rsid w:val="00A86EAB"/>
    <w:rsid w:val="00A97174"/>
    <w:rsid w:val="00AA1B27"/>
    <w:rsid w:val="00AB42F7"/>
    <w:rsid w:val="00AB60DA"/>
    <w:rsid w:val="00AE2C09"/>
    <w:rsid w:val="00B04194"/>
    <w:rsid w:val="00B07CD3"/>
    <w:rsid w:val="00B10BC6"/>
    <w:rsid w:val="00B1474C"/>
    <w:rsid w:val="00B15069"/>
    <w:rsid w:val="00B206DF"/>
    <w:rsid w:val="00B22A68"/>
    <w:rsid w:val="00B23BFD"/>
    <w:rsid w:val="00B24F71"/>
    <w:rsid w:val="00B27998"/>
    <w:rsid w:val="00B4638E"/>
    <w:rsid w:val="00B471A1"/>
    <w:rsid w:val="00B717E3"/>
    <w:rsid w:val="00B72D72"/>
    <w:rsid w:val="00B755D6"/>
    <w:rsid w:val="00B76B3C"/>
    <w:rsid w:val="00B83FE9"/>
    <w:rsid w:val="00B86117"/>
    <w:rsid w:val="00B8659B"/>
    <w:rsid w:val="00B93B8C"/>
    <w:rsid w:val="00BA125F"/>
    <w:rsid w:val="00BA347E"/>
    <w:rsid w:val="00BA6616"/>
    <w:rsid w:val="00BB2924"/>
    <w:rsid w:val="00BB3143"/>
    <w:rsid w:val="00BB33EE"/>
    <w:rsid w:val="00BB3769"/>
    <w:rsid w:val="00BB79DD"/>
    <w:rsid w:val="00BE103F"/>
    <w:rsid w:val="00BE536E"/>
    <w:rsid w:val="00BF541E"/>
    <w:rsid w:val="00BF73D3"/>
    <w:rsid w:val="00BF7A6C"/>
    <w:rsid w:val="00BF7C8A"/>
    <w:rsid w:val="00C03C75"/>
    <w:rsid w:val="00C04013"/>
    <w:rsid w:val="00C0486A"/>
    <w:rsid w:val="00C11F6B"/>
    <w:rsid w:val="00C130BC"/>
    <w:rsid w:val="00C13450"/>
    <w:rsid w:val="00C14CB1"/>
    <w:rsid w:val="00C15C24"/>
    <w:rsid w:val="00C16739"/>
    <w:rsid w:val="00C17668"/>
    <w:rsid w:val="00C2043D"/>
    <w:rsid w:val="00C211E1"/>
    <w:rsid w:val="00C21E92"/>
    <w:rsid w:val="00C23085"/>
    <w:rsid w:val="00C25226"/>
    <w:rsid w:val="00C33603"/>
    <w:rsid w:val="00C34096"/>
    <w:rsid w:val="00C406F4"/>
    <w:rsid w:val="00C4528F"/>
    <w:rsid w:val="00C50E40"/>
    <w:rsid w:val="00C54E97"/>
    <w:rsid w:val="00C62DF9"/>
    <w:rsid w:val="00C8078D"/>
    <w:rsid w:val="00C8349C"/>
    <w:rsid w:val="00C85E4B"/>
    <w:rsid w:val="00C86194"/>
    <w:rsid w:val="00C90EE7"/>
    <w:rsid w:val="00C90F5E"/>
    <w:rsid w:val="00C97083"/>
    <w:rsid w:val="00C97D6C"/>
    <w:rsid w:val="00CA08AC"/>
    <w:rsid w:val="00CA19B3"/>
    <w:rsid w:val="00CA756B"/>
    <w:rsid w:val="00CB5DD7"/>
    <w:rsid w:val="00CD38BD"/>
    <w:rsid w:val="00CD641E"/>
    <w:rsid w:val="00CD786A"/>
    <w:rsid w:val="00CE5305"/>
    <w:rsid w:val="00CE545A"/>
    <w:rsid w:val="00CE592E"/>
    <w:rsid w:val="00CF00F6"/>
    <w:rsid w:val="00CF2926"/>
    <w:rsid w:val="00CF7382"/>
    <w:rsid w:val="00D0269A"/>
    <w:rsid w:val="00D02EA8"/>
    <w:rsid w:val="00D06BD9"/>
    <w:rsid w:val="00D11118"/>
    <w:rsid w:val="00D15575"/>
    <w:rsid w:val="00D36F68"/>
    <w:rsid w:val="00D4286F"/>
    <w:rsid w:val="00D42DC9"/>
    <w:rsid w:val="00D43F9C"/>
    <w:rsid w:val="00D471CE"/>
    <w:rsid w:val="00D65CB4"/>
    <w:rsid w:val="00D705DE"/>
    <w:rsid w:val="00D7667C"/>
    <w:rsid w:val="00D8083C"/>
    <w:rsid w:val="00D82DD9"/>
    <w:rsid w:val="00D8532A"/>
    <w:rsid w:val="00D922B3"/>
    <w:rsid w:val="00D93E34"/>
    <w:rsid w:val="00D94400"/>
    <w:rsid w:val="00D94870"/>
    <w:rsid w:val="00D9510C"/>
    <w:rsid w:val="00D960AD"/>
    <w:rsid w:val="00D96E23"/>
    <w:rsid w:val="00DA25E6"/>
    <w:rsid w:val="00DA3029"/>
    <w:rsid w:val="00DA434F"/>
    <w:rsid w:val="00DB58A3"/>
    <w:rsid w:val="00DC3672"/>
    <w:rsid w:val="00DC5219"/>
    <w:rsid w:val="00DC7F20"/>
    <w:rsid w:val="00DD36DE"/>
    <w:rsid w:val="00DD38F6"/>
    <w:rsid w:val="00DE2625"/>
    <w:rsid w:val="00DE6313"/>
    <w:rsid w:val="00DF253B"/>
    <w:rsid w:val="00DF5A98"/>
    <w:rsid w:val="00E07A35"/>
    <w:rsid w:val="00E22B50"/>
    <w:rsid w:val="00E25212"/>
    <w:rsid w:val="00E32DA7"/>
    <w:rsid w:val="00E35295"/>
    <w:rsid w:val="00E416BA"/>
    <w:rsid w:val="00E41815"/>
    <w:rsid w:val="00E470C4"/>
    <w:rsid w:val="00E52F9E"/>
    <w:rsid w:val="00E57CB5"/>
    <w:rsid w:val="00E65510"/>
    <w:rsid w:val="00E718DF"/>
    <w:rsid w:val="00E7460A"/>
    <w:rsid w:val="00E759C6"/>
    <w:rsid w:val="00E8333C"/>
    <w:rsid w:val="00E90B6E"/>
    <w:rsid w:val="00E9162E"/>
    <w:rsid w:val="00E960DB"/>
    <w:rsid w:val="00E962F3"/>
    <w:rsid w:val="00EA093F"/>
    <w:rsid w:val="00EA122F"/>
    <w:rsid w:val="00EA2BD4"/>
    <w:rsid w:val="00EA480E"/>
    <w:rsid w:val="00EA517D"/>
    <w:rsid w:val="00EA6496"/>
    <w:rsid w:val="00EA7A07"/>
    <w:rsid w:val="00EB22F7"/>
    <w:rsid w:val="00EB5838"/>
    <w:rsid w:val="00EB74E6"/>
    <w:rsid w:val="00EC5EC4"/>
    <w:rsid w:val="00EC626B"/>
    <w:rsid w:val="00ED3CBD"/>
    <w:rsid w:val="00ED637E"/>
    <w:rsid w:val="00EE441F"/>
    <w:rsid w:val="00EF167C"/>
    <w:rsid w:val="00F01860"/>
    <w:rsid w:val="00F02BB3"/>
    <w:rsid w:val="00F035C8"/>
    <w:rsid w:val="00F112E2"/>
    <w:rsid w:val="00F11965"/>
    <w:rsid w:val="00F12EAE"/>
    <w:rsid w:val="00F1400E"/>
    <w:rsid w:val="00F2302B"/>
    <w:rsid w:val="00F32ADE"/>
    <w:rsid w:val="00F331FF"/>
    <w:rsid w:val="00F50B79"/>
    <w:rsid w:val="00F55A3C"/>
    <w:rsid w:val="00F607AE"/>
    <w:rsid w:val="00F639F4"/>
    <w:rsid w:val="00F64F74"/>
    <w:rsid w:val="00F66D88"/>
    <w:rsid w:val="00F73F1E"/>
    <w:rsid w:val="00F75C3A"/>
    <w:rsid w:val="00F86E25"/>
    <w:rsid w:val="00F87269"/>
    <w:rsid w:val="00F95D3E"/>
    <w:rsid w:val="00FA0A0E"/>
    <w:rsid w:val="00FA1A35"/>
    <w:rsid w:val="00FA2617"/>
    <w:rsid w:val="00FA281F"/>
    <w:rsid w:val="00FA4ECA"/>
    <w:rsid w:val="00FB0A9D"/>
    <w:rsid w:val="00FB6A5A"/>
    <w:rsid w:val="00FB7D60"/>
    <w:rsid w:val="00FD30E4"/>
    <w:rsid w:val="00FD4831"/>
    <w:rsid w:val="00FE112D"/>
    <w:rsid w:val="00FF154B"/>
    <w:rsid w:val="00FF1ED4"/>
    <w:rsid w:val="00FF60DA"/>
    <w:rsid w:val="010F5AA3"/>
    <w:rsid w:val="01D70776"/>
    <w:rsid w:val="03031331"/>
    <w:rsid w:val="0359F8C8"/>
    <w:rsid w:val="0491D829"/>
    <w:rsid w:val="05B0543D"/>
    <w:rsid w:val="063F5E12"/>
    <w:rsid w:val="0C0776B4"/>
    <w:rsid w:val="0C1E4131"/>
    <w:rsid w:val="0D385A10"/>
    <w:rsid w:val="0FED82A5"/>
    <w:rsid w:val="10267F24"/>
    <w:rsid w:val="1083AA18"/>
    <w:rsid w:val="11DBB035"/>
    <w:rsid w:val="173ED2F7"/>
    <w:rsid w:val="189354C6"/>
    <w:rsid w:val="193EB6F1"/>
    <w:rsid w:val="1ADA8752"/>
    <w:rsid w:val="1DA1922C"/>
    <w:rsid w:val="1DD1BF6A"/>
    <w:rsid w:val="1DD8BA5A"/>
    <w:rsid w:val="2288E14F"/>
    <w:rsid w:val="25DDF115"/>
    <w:rsid w:val="2855ADFF"/>
    <w:rsid w:val="29C2D1DB"/>
    <w:rsid w:val="2C10E815"/>
    <w:rsid w:val="2E43DC25"/>
    <w:rsid w:val="3149B129"/>
    <w:rsid w:val="3379673B"/>
    <w:rsid w:val="340D8848"/>
    <w:rsid w:val="368B74E7"/>
    <w:rsid w:val="39560A4A"/>
    <w:rsid w:val="39C32D25"/>
    <w:rsid w:val="3A0669BC"/>
    <w:rsid w:val="3A294ED2"/>
    <w:rsid w:val="3E971FA0"/>
    <w:rsid w:val="3EDDEA81"/>
    <w:rsid w:val="444B0F2E"/>
    <w:rsid w:val="4A98046F"/>
    <w:rsid w:val="4AD9E5BE"/>
    <w:rsid w:val="4B14E32E"/>
    <w:rsid w:val="4BC2278C"/>
    <w:rsid w:val="4E338D71"/>
    <w:rsid w:val="52A1B27D"/>
    <w:rsid w:val="566E590F"/>
    <w:rsid w:val="570D5245"/>
    <w:rsid w:val="59780773"/>
    <w:rsid w:val="5B6CDBE1"/>
    <w:rsid w:val="5EFFD345"/>
    <w:rsid w:val="641E1C6D"/>
    <w:rsid w:val="6D981468"/>
    <w:rsid w:val="7F528D91"/>
    <w:rsid w:val="7FBE04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F604E4"/>
  <w15:docId w15:val="{0F9BD799-DEF5-43AB-AB94-898AF916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5C7"/>
    <w:pPr>
      <w:spacing w:after="0" w:line="216" w:lineRule="auto"/>
    </w:pPr>
    <w:rPr>
      <w:color w:val="373A36" w:themeColor="text2"/>
      <w:sz w:val="24"/>
    </w:rPr>
  </w:style>
  <w:style w:type="paragraph" w:styleId="Heading1">
    <w:name w:val="heading 1"/>
    <w:basedOn w:val="Normal"/>
    <w:next w:val="Normal"/>
    <w:link w:val="Heading1Char"/>
    <w:uiPriority w:val="9"/>
    <w:qFormat/>
    <w:rsid w:val="00477240"/>
    <w:pPr>
      <w:keepNext/>
      <w:keepLines/>
      <w:spacing w:line="240" w:lineRule="auto"/>
      <w:outlineLvl w:val="0"/>
    </w:pPr>
    <w:rPr>
      <w:rFonts w:asciiTheme="majorHAnsi" w:eastAsiaTheme="majorEastAsia" w:hAnsiTheme="majorHAnsi" w:cstheme="majorBidi"/>
      <w:b/>
      <w:color w:val="FA4616" w:themeColor="accent1"/>
      <w:sz w:val="48"/>
      <w:szCs w:val="32"/>
    </w:rPr>
  </w:style>
  <w:style w:type="paragraph" w:styleId="Heading2">
    <w:name w:val="heading 2"/>
    <w:basedOn w:val="Normal"/>
    <w:next w:val="Normal"/>
    <w:link w:val="Heading2Char"/>
    <w:uiPriority w:val="9"/>
    <w:unhideWhenUsed/>
    <w:qFormat/>
    <w:rsid w:val="00477240"/>
    <w:pPr>
      <w:keepNext/>
      <w:keepLines/>
      <w:outlineLvl w:val="1"/>
    </w:pPr>
    <w:rPr>
      <w:rFonts w:asciiTheme="majorHAnsi" w:eastAsiaTheme="majorEastAsia" w:hAnsiTheme="majorHAnsi" w:cstheme="majorBidi"/>
      <w:b/>
      <w:sz w:val="48"/>
      <w:szCs w:val="26"/>
    </w:rPr>
  </w:style>
  <w:style w:type="paragraph" w:styleId="Heading3">
    <w:name w:val="heading 3"/>
    <w:basedOn w:val="Normal"/>
    <w:next w:val="Normal"/>
    <w:link w:val="Heading3Char"/>
    <w:uiPriority w:val="9"/>
    <w:unhideWhenUsed/>
    <w:qFormat/>
    <w:rsid w:val="006E2C5E"/>
    <w:pPr>
      <w:keepNext/>
      <w:keepLines/>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angehorizontalline">
    <w:name w:val="Orange horizontal line"/>
    <w:basedOn w:val="Normal"/>
    <w:qFormat/>
    <w:rsid w:val="006E2C5E"/>
    <w:pPr>
      <w:pBdr>
        <w:bottom w:val="single" w:sz="48" w:space="1" w:color="FA4616" w:themeColor="accent1"/>
      </w:pBdr>
      <w:spacing w:after="180"/>
    </w:pPr>
    <w:rPr>
      <w:sz w:val="44"/>
    </w:rPr>
  </w:style>
  <w:style w:type="character" w:customStyle="1" w:styleId="Heading1Char">
    <w:name w:val="Heading 1 Char"/>
    <w:basedOn w:val="DefaultParagraphFont"/>
    <w:link w:val="Heading1"/>
    <w:uiPriority w:val="9"/>
    <w:rsid w:val="00477240"/>
    <w:rPr>
      <w:rFonts w:asciiTheme="majorHAnsi" w:eastAsiaTheme="majorEastAsia" w:hAnsiTheme="majorHAnsi" w:cstheme="majorBidi"/>
      <w:b/>
      <w:color w:val="FA4616" w:themeColor="accent1"/>
      <w:sz w:val="48"/>
      <w:szCs w:val="32"/>
    </w:rPr>
  </w:style>
  <w:style w:type="character" w:customStyle="1" w:styleId="Heading2Char">
    <w:name w:val="Heading 2 Char"/>
    <w:basedOn w:val="DefaultParagraphFont"/>
    <w:link w:val="Heading2"/>
    <w:uiPriority w:val="9"/>
    <w:rsid w:val="00477240"/>
    <w:rPr>
      <w:rFonts w:asciiTheme="majorHAnsi" w:eastAsiaTheme="majorEastAsia" w:hAnsiTheme="majorHAnsi" w:cstheme="majorBidi"/>
      <w:b/>
      <w:color w:val="373A36" w:themeColor="text2"/>
      <w:sz w:val="48"/>
      <w:szCs w:val="26"/>
    </w:rPr>
  </w:style>
  <w:style w:type="character" w:customStyle="1" w:styleId="Heading3Char">
    <w:name w:val="Heading 3 Char"/>
    <w:basedOn w:val="DefaultParagraphFont"/>
    <w:link w:val="Heading3"/>
    <w:uiPriority w:val="9"/>
    <w:rsid w:val="006E2C5E"/>
    <w:rPr>
      <w:rFonts w:asciiTheme="majorHAnsi" w:eastAsiaTheme="majorEastAsia" w:hAnsiTheme="majorHAnsi" w:cstheme="majorBidi"/>
      <w:b/>
      <w:color w:val="373A36" w:themeColor="text2"/>
      <w:sz w:val="24"/>
      <w:szCs w:val="24"/>
    </w:rPr>
  </w:style>
  <w:style w:type="paragraph" w:customStyle="1" w:styleId="Introparagraph">
    <w:name w:val="Intro paragraph"/>
    <w:basedOn w:val="Normal"/>
    <w:qFormat/>
    <w:rsid w:val="00E22B50"/>
    <w:pPr>
      <w:spacing w:after="360"/>
    </w:pPr>
    <w:rPr>
      <w:b/>
      <w:sz w:val="32"/>
    </w:rPr>
  </w:style>
  <w:style w:type="paragraph" w:styleId="Header">
    <w:name w:val="header"/>
    <w:basedOn w:val="Normal"/>
    <w:link w:val="HeaderChar"/>
    <w:uiPriority w:val="99"/>
    <w:unhideWhenUsed/>
    <w:rsid w:val="006E2C5E"/>
    <w:pPr>
      <w:tabs>
        <w:tab w:val="center" w:pos="4513"/>
        <w:tab w:val="right" w:pos="9026"/>
      </w:tabs>
    </w:pPr>
  </w:style>
  <w:style w:type="character" w:customStyle="1" w:styleId="HeaderChar">
    <w:name w:val="Header Char"/>
    <w:basedOn w:val="DefaultParagraphFont"/>
    <w:link w:val="Header"/>
    <w:uiPriority w:val="99"/>
    <w:rsid w:val="006E2C5E"/>
    <w:rPr>
      <w:sz w:val="24"/>
    </w:rPr>
  </w:style>
  <w:style w:type="paragraph" w:styleId="Footer">
    <w:name w:val="footer"/>
    <w:basedOn w:val="Normal"/>
    <w:link w:val="FooterChar"/>
    <w:uiPriority w:val="99"/>
    <w:unhideWhenUsed/>
    <w:rsid w:val="006E2C5E"/>
    <w:pPr>
      <w:tabs>
        <w:tab w:val="center" w:pos="4513"/>
        <w:tab w:val="right" w:pos="9026"/>
      </w:tabs>
    </w:pPr>
  </w:style>
  <w:style w:type="character" w:customStyle="1" w:styleId="FooterChar">
    <w:name w:val="Footer Char"/>
    <w:basedOn w:val="DefaultParagraphFont"/>
    <w:link w:val="Footer"/>
    <w:uiPriority w:val="99"/>
    <w:rsid w:val="006E2C5E"/>
    <w:rPr>
      <w:sz w:val="24"/>
    </w:rPr>
  </w:style>
  <w:style w:type="paragraph" w:styleId="BodyText">
    <w:name w:val="Body Text"/>
    <w:basedOn w:val="Normal"/>
    <w:link w:val="BodyTextChar"/>
    <w:uiPriority w:val="99"/>
    <w:unhideWhenUsed/>
    <w:rsid w:val="00E22B50"/>
    <w:pPr>
      <w:spacing w:after="240"/>
    </w:pPr>
  </w:style>
  <w:style w:type="character" w:customStyle="1" w:styleId="BodyTextChar">
    <w:name w:val="Body Text Char"/>
    <w:basedOn w:val="DefaultParagraphFont"/>
    <w:link w:val="BodyText"/>
    <w:uiPriority w:val="99"/>
    <w:rsid w:val="00E22B50"/>
    <w:rPr>
      <w:color w:val="373A36" w:themeColor="text2"/>
      <w:sz w:val="24"/>
    </w:rPr>
  </w:style>
  <w:style w:type="paragraph" w:customStyle="1" w:styleId="OrangeSubheader2">
    <w:name w:val="Orange Subheader 2"/>
    <w:basedOn w:val="OrangeSub-header"/>
    <w:qFormat/>
    <w:rsid w:val="00E22B50"/>
    <w:pPr>
      <w:numPr>
        <w:ilvl w:val="1"/>
      </w:numPr>
      <w:ind w:left="454" w:hanging="454"/>
    </w:pPr>
  </w:style>
  <w:style w:type="paragraph" w:customStyle="1" w:styleId="OrangeSub-header">
    <w:name w:val="Orange Sub-header"/>
    <w:basedOn w:val="Normal"/>
    <w:qFormat/>
    <w:rsid w:val="00E22B50"/>
    <w:pPr>
      <w:numPr>
        <w:numId w:val="3"/>
      </w:numPr>
      <w:ind w:left="454" w:hanging="454"/>
    </w:pPr>
    <w:rPr>
      <w:b/>
      <w:color w:val="FA4616" w:themeColor="accent1"/>
    </w:rPr>
  </w:style>
  <w:style w:type="table" w:styleId="TableGrid">
    <w:name w:val="Table Grid"/>
    <w:basedOn w:val="TableNormal"/>
    <w:uiPriority w:val="39"/>
    <w:rsid w:val="00F87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Orange">
    <w:name w:val="Cover Title (Orange)"/>
    <w:basedOn w:val="Normal"/>
    <w:qFormat/>
    <w:rsid w:val="004E029A"/>
    <w:rPr>
      <w:b/>
      <w:color w:val="FA4616" w:themeColor="accent1"/>
      <w:sz w:val="68"/>
    </w:rPr>
  </w:style>
  <w:style w:type="paragraph" w:customStyle="1" w:styleId="CoverTitleGrey">
    <w:name w:val="Cover Title (Grey)"/>
    <w:basedOn w:val="Normal"/>
    <w:qFormat/>
    <w:rsid w:val="0058723C"/>
    <w:rPr>
      <w:b/>
      <w:sz w:val="68"/>
    </w:rPr>
  </w:style>
  <w:style w:type="paragraph" w:customStyle="1" w:styleId="CoverSubtitleOrange">
    <w:name w:val="Cover Subtitle (Orange)"/>
    <w:basedOn w:val="Normal"/>
    <w:qFormat/>
    <w:rsid w:val="004E029A"/>
    <w:rPr>
      <w:b/>
      <w:color w:val="FA4616" w:themeColor="accent1"/>
      <w:sz w:val="32"/>
    </w:rPr>
  </w:style>
  <w:style w:type="paragraph" w:customStyle="1" w:styleId="CoverSubtitleGrey">
    <w:name w:val="Cover Subtitle (Grey)"/>
    <w:basedOn w:val="Normal"/>
    <w:qFormat/>
    <w:rsid w:val="004E029A"/>
    <w:rPr>
      <w:sz w:val="32"/>
    </w:rPr>
  </w:style>
  <w:style w:type="paragraph" w:styleId="BalloonText">
    <w:name w:val="Balloon Text"/>
    <w:basedOn w:val="Normal"/>
    <w:link w:val="BalloonTextChar"/>
    <w:uiPriority w:val="99"/>
    <w:semiHidden/>
    <w:unhideWhenUsed/>
    <w:rsid w:val="00A767B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7B9"/>
    <w:rPr>
      <w:rFonts w:ascii="Segoe UI" w:hAnsi="Segoe UI" w:cs="Segoe UI"/>
      <w:color w:val="373A36" w:themeColor="text2"/>
      <w:sz w:val="18"/>
      <w:szCs w:val="18"/>
    </w:rPr>
  </w:style>
  <w:style w:type="paragraph" w:customStyle="1" w:styleId="BulletedText">
    <w:name w:val="Bulleted Text"/>
    <w:basedOn w:val="Normal"/>
    <w:qFormat/>
    <w:rsid w:val="00A767B9"/>
    <w:pPr>
      <w:numPr>
        <w:numId w:val="4"/>
      </w:numPr>
      <w:spacing w:after="240"/>
      <w:ind w:left="340" w:hanging="340"/>
    </w:pPr>
  </w:style>
  <w:style w:type="table" w:styleId="GridTable4-Accent1">
    <w:name w:val="Grid Table 4 Accent 1"/>
    <w:basedOn w:val="TableNormal"/>
    <w:uiPriority w:val="49"/>
    <w:rsid w:val="00A767B9"/>
    <w:pPr>
      <w:spacing w:after="0" w:line="240" w:lineRule="auto"/>
    </w:pPr>
    <w:tblPr>
      <w:tblStyleRowBandSize w:val="1"/>
      <w:tblStyleColBandSize w:val="1"/>
      <w:tblBorders>
        <w:top w:val="single" w:sz="4" w:space="0" w:color="FC8F73" w:themeColor="accent1" w:themeTint="99"/>
        <w:left w:val="single" w:sz="4" w:space="0" w:color="FC8F73" w:themeColor="accent1" w:themeTint="99"/>
        <w:bottom w:val="single" w:sz="4" w:space="0" w:color="FC8F73" w:themeColor="accent1" w:themeTint="99"/>
        <w:right w:val="single" w:sz="4" w:space="0" w:color="FC8F73" w:themeColor="accent1" w:themeTint="99"/>
        <w:insideH w:val="single" w:sz="4" w:space="0" w:color="FC8F73" w:themeColor="accent1" w:themeTint="99"/>
        <w:insideV w:val="single" w:sz="4" w:space="0" w:color="FC8F73" w:themeColor="accent1" w:themeTint="99"/>
      </w:tblBorders>
    </w:tblPr>
    <w:tblStylePr w:type="firstRow">
      <w:rPr>
        <w:b/>
        <w:bCs/>
        <w:color w:val="FFFFFF" w:themeColor="background1"/>
      </w:rPr>
      <w:tblPr/>
      <w:tcPr>
        <w:tcBorders>
          <w:top w:val="single" w:sz="4" w:space="0" w:color="FA4616" w:themeColor="accent1"/>
          <w:left w:val="single" w:sz="4" w:space="0" w:color="FA4616" w:themeColor="accent1"/>
          <w:bottom w:val="single" w:sz="4" w:space="0" w:color="FA4616" w:themeColor="accent1"/>
          <w:right w:val="single" w:sz="4" w:space="0" w:color="FA4616" w:themeColor="accent1"/>
          <w:insideH w:val="nil"/>
          <w:insideV w:val="nil"/>
        </w:tcBorders>
        <w:shd w:val="clear" w:color="auto" w:fill="FA4616" w:themeFill="accent1"/>
      </w:tcPr>
    </w:tblStylePr>
    <w:tblStylePr w:type="lastRow">
      <w:rPr>
        <w:b/>
        <w:bCs/>
      </w:rPr>
      <w:tblPr/>
      <w:tcPr>
        <w:tcBorders>
          <w:top w:val="double" w:sz="4" w:space="0" w:color="FA4616" w:themeColor="accent1"/>
        </w:tcBorders>
      </w:tcPr>
    </w:tblStylePr>
    <w:tblStylePr w:type="firstCol">
      <w:rPr>
        <w:b/>
        <w:bCs/>
      </w:rPr>
    </w:tblStylePr>
    <w:tblStylePr w:type="lastCol">
      <w:rPr>
        <w:b/>
        <w:bCs/>
      </w:rPr>
    </w:tblStylePr>
    <w:tblStylePr w:type="band1Vert">
      <w:tblPr/>
      <w:tcPr>
        <w:shd w:val="clear" w:color="auto" w:fill="FED9D0" w:themeFill="accent1" w:themeFillTint="33"/>
      </w:tcPr>
    </w:tblStylePr>
    <w:tblStylePr w:type="band1Horz">
      <w:tblPr/>
      <w:tcPr>
        <w:shd w:val="clear" w:color="auto" w:fill="FED9D0" w:themeFill="accent1" w:themeFillTint="33"/>
      </w:tcPr>
    </w:tblStylePr>
  </w:style>
  <w:style w:type="table" w:customStyle="1" w:styleId="Table1">
    <w:name w:val="Table 1"/>
    <w:basedOn w:val="TableNormal"/>
    <w:uiPriority w:val="99"/>
    <w:rsid w:val="00CF2926"/>
    <w:pPr>
      <w:spacing w:after="0" w:line="240" w:lineRule="auto"/>
    </w:pPr>
    <w:rPr>
      <w:sz w:val="20"/>
    </w:rPr>
    <w:tblPr>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tblCellMar>
    </w:tblPr>
    <w:tcPr>
      <w:vAlign w:val="center"/>
    </w:tcPr>
    <w:tblStylePr w:type="firstRow">
      <w:rPr>
        <w:b/>
        <w:color w:val="FFFFFF" w:themeColor="background1"/>
      </w:rPr>
      <w:tblPr/>
      <w:tcPr>
        <w:shd w:val="clear" w:color="auto" w:fill="FA4616" w:themeFill="accent1"/>
      </w:tcPr>
    </w:tblStylePr>
    <w:tblStylePr w:type="firstCol">
      <w:tblPr/>
      <w:tcPr>
        <w:shd w:val="clear" w:color="auto" w:fill="FA4616" w:themeFill="accent1"/>
      </w:tcPr>
    </w:tblStylePr>
    <w:tblStylePr w:type="band1Vert">
      <w:rPr>
        <w:color w:val="C3E1F5"/>
      </w:rPr>
      <w:tblPr/>
      <w:tcPr>
        <w:shd w:val="clear" w:color="auto" w:fill="E1F0FA"/>
      </w:tcPr>
    </w:tblStylePr>
    <w:tblStylePr w:type="band2Vert">
      <w:tblPr/>
      <w:tcPr>
        <w:shd w:val="clear" w:color="auto" w:fill="C3E1F5"/>
      </w:tcPr>
    </w:tblStylePr>
  </w:style>
  <w:style w:type="paragraph" w:customStyle="1" w:styleId="ChartTitle">
    <w:name w:val="Chart Title"/>
    <w:basedOn w:val="Normal"/>
    <w:qFormat/>
    <w:rsid w:val="00B471A1"/>
    <w:rPr>
      <w:b/>
      <w:color w:val="FA4616" w:themeColor="accent1"/>
      <w:sz w:val="20"/>
    </w:rPr>
  </w:style>
  <w:style w:type="paragraph" w:customStyle="1" w:styleId="ChartSubtitle">
    <w:name w:val="Chart Subtitle"/>
    <w:basedOn w:val="Normal"/>
    <w:qFormat/>
    <w:rsid w:val="00B471A1"/>
    <w:rPr>
      <w:sz w:val="20"/>
    </w:rPr>
  </w:style>
  <w:style w:type="character" w:styleId="BookTitle">
    <w:name w:val="Book Title"/>
    <w:basedOn w:val="DefaultParagraphFont"/>
    <w:uiPriority w:val="33"/>
    <w:qFormat/>
    <w:rsid w:val="00037612"/>
    <w:rPr>
      <w:b/>
      <w:bCs/>
      <w:i/>
      <w:iCs/>
      <w:spacing w:val="5"/>
    </w:rPr>
  </w:style>
  <w:style w:type="paragraph" w:styleId="ListParagraph">
    <w:name w:val="List Paragraph"/>
    <w:aliases w:val="Numbered Para 1,Dot pt,No Spacing1,List Paragraph Char Char Char,Indicator Text,List Paragraph1,Bullet Points,Bullet 1,MAIN CONTENT,List Paragraph12,F5 List Paragraph,Colorful List - Accent 13,OBC Bullet,Colorful List - Accent 11,L"/>
    <w:basedOn w:val="Normal"/>
    <w:link w:val="ListParagraphChar"/>
    <w:uiPriority w:val="34"/>
    <w:qFormat/>
    <w:rsid w:val="00390FE2"/>
    <w:pPr>
      <w:ind w:left="720"/>
      <w:contextualSpacing/>
    </w:pPr>
  </w:style>
  <w:style w:type="character" w:styleId="Hyperlink">
    <w:name w:val="Hyperlink"/>
    <w:basedOn w:val="DefaultParagraphFont"/>
    <w:uiPriority w:val="99"/>
    <w:unhideWhenUsed/>
    <w:rsid w:val="00014DB6"/>
    <w:rPr>
      <w:color w:val="0563C1" w:themeColor="hyperlink"/>
      <w:u w:val="single"/>
    </w:rPr>
  </w:style>
  <w:style w:type="character" w:styleId="UnresolvedMention">
    <w:name w:val="Unresolved Mention"/>
    <w:basedOn w:val="DefaultParagraphFont"/>
    <w:uiPriority w:val="99"/>
    <w:semiHidden/>
    <w:unhideWhenUsed/>
    <w:rsid w:val="00014DB6"/>
    <w:rPr>
      <w:color w:val="605E5C"/>
      <w:shd w:val="clear" w:color="auto" w:fill="E1DFDD"/>
    </w:rPr>
  </w:style>
  <w:style w:type="character" w:customStyle="1" w:styleId="normaltextrun">
    <w:name w:val="normaltextrun"/>
    <w:basedOn w:val="DefaultParagraphFont"/>
    <w:rsid w:val="00A86EAB"/>
  </w:style>
  <w:style w:type="character" w:customStyle="1" w:styleId="eop">
    <w:name w:val="eop"/>
    <w:basedOn w:val="DefaultParagraphFont"/>
    <w:rsid w:val="00A86EAB"/>
  </w:style>
  <w:style w:type="paragraph" w:customStyle="1" w:styleId="paragraph">
    <w:name w:val="paragraph"/>
    <w:basedOn w:val="Normal"/>
    <w:rsid w:val="00A86EAB"/>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styleId="FootnoteText">
    <w:name w:val="footnote text"/>
    <w:basedOn w:val="Normal"/>
    <w:link w:val="FootnoteTextChar"/>
    <w:uiPriority w:val="99"/>
    <w:semiHidden/>
    <w:unhideWhenUsed/>
    <w:rsid w:val="00936C6B"/>
    <w:pPr>
      <w:spacing w:line="240" w:lineRule="auto"/>
    </w:pPr>
    <w:rPr>
      <w:sz w:val="20"/>
      <w:szCs w:val="20"/>
    </w:rPr>
  </w:style>
  <w:style w:type="character" w:customStyle="1" w:styleId="FootnoteTextChar">
    <w:name w:val="Footnote Text Char"/>
    <w:basedOn w:val="DefaultParagraphFont"/>
    <w:link w:val="FootnoteText"/>
    <w:uiPriority w:val="99"/>
    <w:semiHidden/>
    <w:rsid w:val="00936C6B"/>
    <w:rPr>
      <w:color w:val="373A36" w:themeColor="text2"/>
      <w:sz w:val="20"/>
      <w:szCs w:val="20"/>
    </w:rPr>
  </w:style>
  <w:style w:type="character" w:styleId="FootnoteReference">
    <w:name w:val="footnote reference"/>
    <w:basedOn w:val="DefaultParagraphFont"/>
    <w:uiPriority w:val="99"/>
    <w:semiHidden/>
    <w:unhideWhenUsed/>
    <w:rsid w:val="00936C6B"/>
    <w:rPr>
      <w:vertAlign w:val="superscript"/>
    </w:rPr>
  </w:style>
  <w:style w:type="character" w:styleId="CommentReference">
    <w:name w:val="annotation reference"/>
    <w:basedOn w:val="DefaultParagraphFont"/>
    <w:uiPriority w:val="99"/>
    <w:semiHidden/>
    <w:unhideWhenUsed/>
    <w:rsid w:val="00B23BFD"/>
    <w:rPr>
      <w:sz w:val="16"/>
      <w:szCs w:val="16"/>
    </w:rPr>
  </w:style>
  <w:style w:type="paragraph" w:styleId="CommentText">
    <w:name w:val="annotation text"/>
    <w:basedOn w:val="Normal"/>
    <w:link w:val="CommentTextChar"/>
    <w:uiPriority w:val="99"/>
    <w:unhideWhenUsed/>
    <w:rsid w:val="00B23BFD"/>
    <w:pPr>
      <w:spacing w:line="240" w:lineRule="auto"/>
    </w:pPr>
    <w:rPr>
      <w:sz w:val="20"/>
      <w:szCs w:val="20"/>
    </w:rPr>
  </w:style>
  <w:style w:type="character" w:customStyle="1" w:styleId="CommentTextChar">
    <w:name w:val="Comment Text Char"/>
    <w:basedOn w:val="DefaultParagraphFont"/>
    <w:link w:val="CommentText"/>
    <w:uiPriority w:val="99"/>
    <w:rsid w:val="00B23BFD"/>
    <w:rPr>
      <w:color w:val="373A36" w:themeColor="text2"/>
      <w:sz w:val="20"/>
      <w:szCs w:val="20"/>
    </w:rPr>
  </w:style>
  <w:style w:type="paragraph" w:styleId="CommentSubject">
    <w:name w:val="annotation subject"/>
    <w:basedOn w:val="CommentText"/>
    <w:next w:val="CommentText"/>
    <w:link w:val="CommentSubjectChar"/>
    <w:uiPriority w:val="99"/>
    <w:semiHidden/>
    <w:unhideWhenUsed/>
    <w:rsid w:val="00B23BFD"/>
    <w:rPr>
      <w:b/>
      <w:bCs/>
    </w:rPr>
  </w:style>
  <w:style w:type="character" w:customStyle="1" w:styleId="CommentSubjectChar">
    <w:name w:val="Comment Subject Char"/>
    <w:basedOn w:val="CommentTextChar"/>
    <w:link w:val="CommentSubject"/>
    <w:uiPriority w:val="99"/>
    <w:semiHidden/>
    <w:rsid w:val="00B23BFD"/>
    <w:rPr>
      <w:b/>
      <w:bCs/>
      <w:color w:val="373A36" w:themeColor="text2"/>
      <w:sz w:val="20"/>
      <w:szCs w:val="20"/>
    </w:rPr>
  </w:style>
  <w:style w:type="paragraph" w:styleId="Revision">
    <w:name w:val="Revision"/>
    <w:hidden/>
    <w:uiPriority w:val="99"/>
    <w:semiHidden/>
    <w:rsid w:val="00C23085"/>
    <w:pPr>
      <w:spacing w:after="0" w:line="240" w:lineRule="auto"/>
    </w:pPr>
    <w:rPr>
      <w:color w:val="373A36" w:themeColor="text2"/>
      <w:sz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EB74E6"/>
    <w:rPr>
      <w:color w:val="373A36" w:themeColor="text2"/>
      <w:sz w:val="24"/>
    </w:rPr>
  </w:style>
  <w:style w:type="character" w:styleId="Mention">
    <w:name w:val="Mention"/>
    <w:basedOn w:val="DefaultParagraphFont"/>
    <w:uiPriority w:val="99"/>
    <w:unhideWhenUsed/>
    <w:rsid w:val="00047EE1"/>
    <w:rPr>
      <w:color w:val="2B579A"/>
      <w:shd w:val="clear" w:color="auto" w:fill="E1DFDD"/>
    </w:rPr>
  </w:style>
  <w:style w:type="paragraph" w:customStyle="1" w:styleId="Default">
    <w:name w:val="Default"/>
    <w:rsid w:val="0067227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741298">
      <w:bodyDiv w:val="1"/>
      <w:marLeft w:val="0"/>
      <w:marRight w:val="0"/>
      <w:marTop w:val="0"/>
      <w:marBottom w:val="0"/>
      <w:divBdr>
        <w:top w:val="none" w:sz="0" w:space="0" w:color="auto"/>
        <w:left w:val="none" w:sz="0" w:space="0" w:color="auto"/>
        <w:bottom w:val="none" w:sz="0" w:space="0" w:color="auto"/>
        <w:right w:val="none" w:sz="0" w:space="0" w:color="auto"/>
      </w:divBdr>
    </w:div>
    <w:div w:id="1152989256">
      <w:bodyDiv w:val="1"/>
      <w:marLeft w:val="0"/>
      <w:marRight w:val="0"/>
      <w:marTop w:val="0"/>
      <w:marBottom w:val="0"/>
      <w:divBdr>
        <w:top w:val="none" w:sz="0" w:space="0" w:color="auto"/>
        <w:left w:val="none" w:sz="0" w:space="0" w:color="auto"/>
        <w:bottom w:val="none" w:sz="0" w:space="0" w:color="auto"/>
        <w:right w:val="none" w:sz="0" w:space="0" w:color="auto"/>
      </w:divBdr>
    </w:div>
    <w:div w:id="1231426617">
      <w:bodyDiv w:val="1"/>
      <w:marLeft w:val="0"/>
      <w:marRight w:val="0"/>
      <w:marTop w:val="0"/>
      <w:marBottom w:val="0"/>
      <w:divBdr>
        <w:top w:val="none" w:sz="0" w:space="0" w:color="auto"/>
        <w:left w:val="none" w:sz="0" w:space="0" w:color="auto"/>
        <w:bottom w:val="none" w:sz="0" w:space="0" w:color="auto"/>
        <w:right w:val="none" w:sz="0" w:space="0" w:color="auto"/>
      </w:divBdr>
    </w:div>
    <w:div w:id="1238830960">
      <w:bodyDiv w:val="1"/>
      <w:marLeft w:val="0"/>
      <w:marRight w:val="0"/>
      <w:marTop w:val="0"/>
      <w:marBottom w:val="0"/>
      <w:divBdr>
        <w:top w:val="none" w:sz="0" w:space="0" w:color="auto"/>
        <w:left w:val="none" w:sz="0" w:space="0" w:color="auto"/>
        <w:bottom w:val="none" w:sz="0" w:space="0" w:color="auto"/>
        <w:right w:val="none" w:sz="0" w:space="0" w:color="auto"/>
      </w:divBdr>
    </w:div>
    <w:div w:id="1527138419">
      <w:bodyDiv w:val="1"/>
      <w:marLeft w:val="0"/>
      <w:marRight w:val="0"/>
      <w:marTop w:val="0"/>
      <w:marBottom w:val="0"/>
      <w:divBdr>
        <w:top w:val="none" w:sz="0" w:space="0" w:color="auto"/>
        <w:left w:val="none" w:sz="0" w:space="0" w:color="auto"/>
        <w:bottom w:val="none" w:sz="0" w:space="0" w:color="auto"/>
        <w:right w:val="none" w:sz="0" w:space="0" w:color="auto"/>
      </w:divBdr>
    </w:div>
    <w:div w:id="1673221804">
      <w:bodyDiv w:val="1"/>
      <w:marLeft w:val="0"/>
      <w:marRight w:val="0"/>
      <w:marTop w:val="0"/>
      <w:marBottom w:val="0"/>
      <w:divBdr>
        <w:top w:val="none" w:sz="0" w:space="0" w:color="auto"/>
        <w:left w:val="none" w:sz="0" w:space="0" w:color="auto"/>
        <w:bottom w:val="none" w:sz="0" w:space="0" w:color="auto"/>
        <w:right w:val="none" w:sz="0" w:space="0" w:color="auto"/>
      </w:divBdr>
    </w:div>
    <w:div w:id="1676110818">
      <w:bodyDiv w:val="1"/>
      <w:marLeft w:val="0"/>
      <w:marRight w:val="0"/>
      <w:marTop w:val="0"/>
      <w:marBottom w:val="0"/>
      <w:divBdr>
        <w:top w:val="none" w:sz="0" w:space="0" w:color="auto"/>
        <w:left w:val="none" w:sz="0" w:space="0" w:color="auto"/>
        <w:bottom w:val="none" w:sz="0" w:space="0" w:color="auto"/>
        <w:right w:val="none" w:sz="0" w:space="0" w:color="auto"/>
      </w:divBdr>
    </w:div>
    <w:div w:id="1979606091">
      <w:bodyDiv w:val="1"/>
      <w:marLeft w:val="0"/>
      <w:marRight w:val="0"/>
      <w:marTop w:val="0"/>
      <w:marBottom w:val="0"/>
      <w:divBdr>
        <w:top w:val="none" w:sz="0" w:space="0" w:color="auto"/>
        <w:left w:val="none" w:sz="0" w:space="0" w:color="auto"/>
        <w:bottom w:val="none" w:sz="0" w:space="0" w:color="auto"/>
        <w:right w:val="none" w:sz="0" w:space="0" w:color="auto"/>
      </w:divBdr>
    </w:div>
    <w:div w:id="2005889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searchbriefings.files.parliament.uk/documents/CBP-8730/CBP-8730.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emf"/><Relationship Id="rId4" Type="http://schemas.openxmlformats.org/officeDocument/2006/relationships/image" Target="media/image8.png"/></Relationships>
</file>

<file path=word/theme/theme1.xml><?xml version="1.0" encoding="utf-8"?>
<a:theme xmlns:a="http://schemas.openxmlformats.org/drawingml/2006/main" name="Office Theme">
  <a:themeElements>
    <a:clrScheme name="Custom 615">
      <a:dk1>
        <a:sysClr val="windowText" lastClr="000000"/>
      </a:dk1>
      <a:lt1>
        <a:sysClr val="window" lastClr="FFFFFF"/>
      </a:lt1>
      <a:dk2>
        <a:srgbClr val="373A36"/>
      </a:dk2>
      <a:lt2>
        <a:srgbClr val="E7E6E6"/>
      </a:lt2>
      <a:accent1>
        <a:srgbClr val="FA4616"/>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5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97B440E760EB4CB75B8973B5C1A21A" ma:contentTypeVersion="18" ma:contentTypeDescription="Create a new document." ma:contentTypeScope="" ma:versionID="a5c3e5e28c165a801e68fe2d02dc4676">
  <xsd:schema xmlns:xsd="http://www.w3.org/2001/XMLSchema" xmlns:xs="http://www.w3.org/2001/XMLSchema" xmlns:p="http://schemas.microsoft.com/office/2006/metadata/properties" xmlns:ns2="f4bd8526-ddc0-4ac1-b6af-1e77411287d6" xmlns:ns3="a70699f2-e6b7-4206-a0cf-519406b976f3" xmlns:ns4="1f4a336f-b4e5-4304-a7d9-7d00551ebc1f" targetNamespace="http://schemas.microsoft.com/office/2006/metadata/properties" ma:root="true" ma:fieldsID="af0fdbf6558bf8de9328475523e36fa7" ns2:_="" ns3:_="" ns4:_="">
    <xsd:import namespace="f4bd8526-ddc0-4ac1-b6af-1e77411287d6"/>
    <xsd:import namespace="a70699f2-e6b7-4206-a0cf-519406b976f3"/>
    <xsd:import namespace="1f4a336f-b4e5-4304-a7d9-7d00551ebc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d8526-ddc0-4ac1-b6af-1e7741128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b6cfc09-e60f-4204-a1c4-aa3fd7a65a8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0699f2-e6b7-4206-a0cf-519406b976f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86f87410-0f27-4128-a3b3-a4131480720a}" ma:internalName="TaxCatchAll" ma:showField="CatchAllData" ma:web="1f4a336f-b4e5-4304-a7d9-7d00551ebc1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4a336f-b4e5-4304-a7d9-7d00551ebc1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1f4a336f-b4e5-4304-a7d9-7d00551ebc1f">
      <UserInfo>
        <DisplayName>Simon Hames</DisplayName>
        <AccountId>3581</AccountId>
        <AccountType/>
      </UserInfo>
      <UserInfo>
        <DisplayName>Jones, Amanda</DisplayName>
        <AccountId>8190</AccountId>
        <AccountType/>
      </UserInfo>
    </SharedWithUsers>
    <lcf76f155ced4ddcb4097134ff3c332f xmlns="f4bd8526-ddc0-4ac1-b6af-1e77411287d6">
      <Terms xmlns="http://schemas.microsoft.com/office/infopath/2007/PartnerControls"/>
    </lcf76f155ced4ddcb4097134ff3c332f>
    <TaxCatchAll xmlns="a70699f2-e6b7-4206-a0cf-519406b976f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49221-8086-4450-84B0-E578FE23C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d8526-ddc0-4ac1-b6af-1e77411287d6"/>
    <ds:schemaRef ds:uri="a70699f2-e6b7-4206-a0cf-519406b976f3"/>
    <ds:schemaRef ds:uri="1f4a336f-b4e5-4304-a7d9-7d00551eb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46663-0762-4D86-956D-93C1C7CBF1DC}">
  <ds:schemaRefs>
    <ds:schemaRef ds:uri="http://schemas.microsoft.com/office/2006/metadata/properties"/>
    <ds:schemaRef ds:uri="1f4a336f-b4e5-4304-a7d9-7d00551ebc1f"/>
    <ds:schemaRef ds:uri="f4bd8526-ddc0-4ac1-b6af-1e77411287d6"/>
    <ds:schemaRef ds:uri="http://schemas.microsoft.com/office/infopath/2007/PartnerControls"/>
    <ds:schemaRef ds:uri="a70699f2-e6b7-4206-a0cf-519406b976f3"/>
  </ds:schemaRefs>
</ds:datastoreItem>
</file>

<file path=customXml/itemProps3.xml><?xml version="1.0" encoding="utf-8"?>
<ds:datastoreItem xmlns:ds="http://schemas.openxmlformats.org/officeDocument/2006/customXml" ds:itemID="{A9690313-E4AA-4452-80AC-F64C85BFFB92}">
  <ds:schemaRefs>
    <ds:schemaRef ds:uri="http://schemas.openxmlformats.org/officeDocument/2006/bibliography"/>
  </ds:schemaRefs>
</ds:datastoreItem>
</file>

<file path=customXml/itemProps4.xml><?xml version="1.0" encoding="utf-8"?>
<ds:datastoreItem xmlns:ds="http://schemas.openxmlformats.org/officeDocument/2006/customXml" ds:itemID="{533595A5-834B-4A0A-A126-0F75258C5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3695</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Cadent_Report_Template_One Column_Option3.docx</vt:lpstr>
    </vt:vector>
  </TitlesOfParts>
  <Company/>
  <LinksUpToDate>false</LinksUpToDate>
  <CharactersWithSpaces>24709</CharactersWithSpaces>
  <SharedDoc>false</SharedDoc>
  <HLinks>
    <vt:vector size="12" baseType="variant">
      <vt:variant>
        <vt:i4>458783</vt:i4>
      </vt:variant>
      <vt:variant>
        <vt:i4>0</vt:i4>
      </vt:variant>
      <vt:variant>
        <vt:i4>0</vt:i4>
      </vt:variant>
      <vt:variant>
        <vt:i4>5</vt:i4>
      </vt:variant>
      <vt:variant>
        <vt:lpwstr>https://researchbriefings.files.parliament.uk/documents/CBP-8730/CBP-8730.pdf</vt:lpwstr>
      </vt:variant>
      <vt:variant>
        <vt:lpwstr/>
      </vt:variant>
      <vt:variant>
        <vt:i4>4194423</vt:i4>
      </vt:variant>
      <vt:variant>
        <vt:i4>0</vt:i4>
      </vt:variant>
      <vt:variant>
        <vt:i4>0</vt:i4>
      </vt:variant>
      <vt:variant>
        <vt:i4>5</vt:i4>
      </vt:variant>
      <vt:variant>
        <vt:lpwstr>mailto:dan.edwards@sgn.co.uk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Cadent_Report_Template_One Column_Option3.docx</dc:title>
  <dc:subject/>
  <dc:creator>Cadent</dc:creator>
  <cp:keywords/>
  <dc:description/>
  <cp:lastModifiedBy>Jones, Amanda</cp:lastModifiedBy>
  <cp:revision>2</cp:revision>
  <cp:lastPrinted>2017-06-15T20:32:00Z</cp:lastPrinted>
  <dcterms:created xsi:type="dcterms:W3CDTF">2024-08-19T14:01:00Z</dcterms:created>
  <dcterms:modified xsi:type="dcterms:W3CDTF">2024-08-19T14:01:00Z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0x0101000297B440E760EB4CB75B8973B5C1A21A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MSIP_Label_7a28ff59-1dd3-406f-be87-f82473b549be_Enabled">
    <vt:lpwstr>True</vt:lpwstr>
  </property>
  <property fmtid="{D5CDD505-2E9C-101B-9397-08002B2CF9AE}" pid="7" name="MSIP_Label_7a28ff59-1dd3-406f-be87-f82473b549be_SiteId">
    <vt:lpwstr>de0d74aa-9914-4bb9-9235-fbefe83b1769</vt:lpwstr>
  </property>
  <property fmtid="{D5CDD505-2E9C-101B-9397-08002B2CF9AE}" pid="8" name="MSIP_Label_7a28ff59-1dd3-406f-be87-f82473b549be_Owner">
    <vt:lpwstr>Edward.Allard@cadentgas.com</vt:lpwstr>
  </property>
  <property fmtid="{D5CDD505-2E9C-101B-9397-08002B2CF9AE}" pid="9" name="MSIP_Label_7a28ff59-1dd3-406f-be87-f82473b549be_SetDate">
    <vt:lpwstr>2020-12-16T15:54:32.9644968Z</vt:lpwstr>
  </property>
  <property fmtid="{D5CDD505-2E9C-101B-9397-08002B2CF9AE}" pid="10" name="MSIP_Label_7a28ff59-1dd3-406f-be87-f82473b549be_Name">
    <vt:lpwstr>Cadent - Official</vt:lpwstr>
  </property>
  <property fmtid="{D5CDD505-2E9C-101B-9397-08002B2CF9AE}" pid="11" name="MSIP_Label_7a28ff59-1dd3-406f-be87-f82473b549be_Application">
    <vt:lpwstr>Microsoft Azure Information Protection</vt:lpwstr>
  </property>
  <property fmtid="{D5CDD505-2E9C-101B-9397-08002B2CF9AE}" pid="12" name="MSIP_Label_7a28ff59-1dd3-406f-be87-f82473b549be_Extended_MSFT_Method">
    <vt:lpwstr>Automatic</vt:lpwstr>
  </property>
  <property fmtid="{D5CDD505-2E9C-101B-9397-08002B2CF9AE}" pid="13" name="MediaServiceImageTags">
    <vt:lpwstr/>
  </property>
  <property fmtid="{D5CDD505-2E9C-101B-9397-08002B2CF9AE}" pid="14" name="GrammarlyDocumentId">
    <vt:lpwstr>6daa4f7cd542dbb1dc879bde298d53123457fa19a130aaf6a3a05126c1787ab1</vt:lpwstr>
  </property>
  <property fmtid="{D5CDD505-2E9C-101B-9397-08002B2CF9AE}" pid="15" name="ClassificationContentMarkingHeaderShapeIds">
    <vt:lpwstr>2,4,5</vt:lpwstr>
  </property>
  <property fmtid="{D5CDD505-2E9C-101B-9397-08002B2CF9AE}" pid="16" name="ClassificationContentMarkingHeaderFontProps">
    <vt:lpwstr>#000000,10,Calibri</vt:lpwstr>
  </property>
  <property fmtid="{D5CDD505-2E9C-101B-9397-08002B2CF9AE}" pid="17" name="ClassificationContentMarkingHeaderText">
    <vt:lpwstr>Classified as Internal</vt:lpwstr>
  </property>
  <property fmtid="{D5CDD505-2E9C-101B-9397-08002B2CF9AE}" pid="18" name="MSIP_Label_2b73dd0b-afe1-4a46-943f-1bdb914b8a49_Enabled">
    <vt:lpwstr>true</vt:lpwstr>
  </property>
  <property fmtid="{D5CDD505-2E9C-101B-9397-08002B2CF9AE}" pid="19" name="MSIP_Label_2b73dd0b-afe1-4a46-943f-1bdb914b8a49_SetDate">
    <vt:lpwstr>2024-05-14T12:42:15Z</vt:lpwstr>
  </property>
  <property fmtid="{D5CDD505-2E9C-101B-9397-08002B2CF9AE}" pid="20" name="MSIP_Label_2b73dd0b-afe1-4a46-943f-1bdb914b8a49_Method">
    <vt:lpwstr>Standard</vt:lpwstr>
  </property>
  <property fmtid="{D5CDD505-2E9C-101B-9397-08002B2CF9AE}" pid="21" name="MSIP_Label_2b73dd0b-afe1-4a46-943f-1bdb914b8a49_Name">
    <vt:lpwstr>Internal</vt:lpwstr>
  </property>
  <property fmtid="{D5CDD505-2E9C-101B-9397-08002B2CF9AE}" pid="22" name="MSIP_Label_2b73dd0b-afe1-4a46-943f-1bdb914b8a49_SiteId">
    <vt:lpwstr>b9563cbc-9874-41ab-b448-7e0f61aff3eb</vt:lpwstr>
  </property>
  <property fmtid="{D5CDD505-2E9C-101B-9397-08002B2CF9AE}" pid="23" name="MSIP_Label_2b73dd0b-afe1-4a46-943f-1bdb914b8a49_ActionId">
    <vt:lpwstr>7cbb0dd7-db53-448b-a2d1-f5add07349a8</vt:lpwstr>
  </property>
  <property fmtid="{D5CDD505-2E9C-101B-9397-08002B2CF9AE}" pid="24" name="MSIP_Label_2b73dd0b-afe1-4a46-943f-1bdb914b8a49_ContentBits">
    <vt:lpwstr>1</vt:lpwstr>
  </property>
</Properties>
</file>